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E-6331/2020 vom 18. Mai 2021</w:t>
      </w:r>
    </w:p>
    <w:p>
      <w:r>
        <w:t>Bundesverwaltungsgericht, 2021-05-18, DE</w:t>
      </w:r>
    </w:p>
    <w:p>
      <w:r>
        <w:rPr>
          <w:b/>
        </w:rPr>
        <w:t xml:space="preserve">Quelle: </w:t>
      </w:r>
      <w:r>
        <w:t>https://mcp.opencaselaw.ch/entscheid/bvger_E-6331_2020</w:t>
      </w:r>
    </w:p>
    <w:p>
      <w:r>
        <w:t>FR: TAF E-6331/2020 du 18 mai 2021</w:t>
      </w:r>
    </w:p>
    <w:p>
      <w:r>
        <w:t>IT: TAF E-6331/2020 del 18 maggio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3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Demgegenüber prüft die Vorinstanz in solchen Fällen die Frage der Wegweisung und des Vollzugs materiell, weshalb dem Bundesverwaltungsgericht diesbezüglich die volle Kognition zukommt.</w:t>
      </w:r>
    </w:p>
    <w:p>
      <w:r>
        <w:rPr>
          <w:b/>
        </w:rPr>
        <w:t>E. 4</w:t>
      </w:r>
    </w:p>
    <w:p>
      <w:r>
        <w:t>In der Beschwerdeschrift wird vorab gerügt, die Vorinstanz habe die in Art. 6 Abs. 3 des Abkommens vom 10. September 1998 zwischen der Schweizerischen Eidgenossenschaft und der Italienischen Republik über die Rückübernahme von Personen mit unbefugtem Aufenthalt (SR 0.142.114.549; nachfolgend Rückübernahmeabkommen) statuierte Frist nicht eingehalten. Deshalb sei die angefochtene Verfügung aufzuheben und zur Neubeurteilung an die Vorinstanz zurückzuweisen.</w:t>
      </w:r>
    </w:p>
    <w:p>
      <w:r>
        <w:rPr>
          <w:b/>
        </w:rPr>
        <w:t>E. 4.1</w:t>
      </w:r>
    </w:p>
    <w:p>
      <w:r>
        <w:t>Wie dem erwähnten Rückübernahmeabkommen entnommen werden kann, teilt die ersuchte Vertragspartei (Hier: Italien) ihren Entscheid der ersuchenden Vertragspartei (Hier: die Schweiz) innert kürzester Frist, spätestens innert acht Tagen, schriftlich mit. Weil bei der Drittstaatenregelung der effiziente Vollzug der Wegweisung im Vordergrund steht (vgl. Botschaft zur Änderung des AsylG vom 4. September 2002 [BBl 2002 6845, 6849 ff. und 6884), ist eine Rückübernahmezusicherung von Italien unabdingbar. Die Ermächtigung zur Rückübernahme gilt für einen Monat ab dem Zeitpunkt ihrer Bekanntgabe; diese Frist kann auf Antrag der ersuchenden Vertragspartei verlängert werden.</w:t>
      </w:r>
    </w:p>
    <w:p>
      <w:r>
        <w:rPr>
          <w:b/>
        </w:rPr>
        <w:t>E. 4.2</w:t>
      </w:r>
    </w:p>
    <w:p>
      <w:r>
        <w:t>Den vorliegenden Akten kann entnommen werden, dass die Vorinstanz am 17. Juli 2018 die italienischen Behörden um die Rückübernahme des Beschwerdeführers ersucht hat. Mangels Antwort erneuerte die Vorinstanz ihre Anfrage mit Schreiben vom 30. Januar 2019. Die italienischen Behörden stimmten diesem Ersuchen am 6. Februar 2019 - also fristgerecht - erstmals zu (vgl. Akte A37, A49, A50). Am 8. August 2019 ersuchte das SEM die italienischen Behörden um eine Fristverlängerung (für die Rücküberführung) und erneuerte dieses Gesuch mangels Antwort am 24. November 2020. Die italienischen Behörden stimmten dem Ersuchen am 24. November 2020 zu (A59, A67, A69). Zwar liegt diese Ermächtigung zur Rückübernahme (wiederum) über einen Monat zurück. Indes ist mit der Vorinstanz (in ihrer Vernehmlassung) davon auszugehen, dass die italienischen Behörden den subsidiären Schutzstatus des Beschwerdeführers nach wie vor als gültig erachten und eine Rückübernahme gewährleistet ist, dies zu den von den italienischen Behörden angegebenen Bedingungen (Vorankündigung innert fünf Arbeitstagen; A51). Damit erweist sich die Argumentation des Beschwerdeführers, wonach die Rückübernahme wegen des Fristablaufs trotz der formellen Zusage Italiens nicht mehr erfolgen könne und die Zuständigkeit des ersuchten Staates mit Ablauf der Frist beendet sei, als unzutreffend. Die in Art. 6 Abs. 3 Rückübernahmeabkommen vorgesehene Monatsfrist kann auf Antrag der ersuchenden Vertragspartei verlängert werden. Es gibt keine Bestimmungen, wonach die Frist nicht mehrmals beziehungsweise innert einer vorgegebenen Frist verlängert werden könnte oder nach Ablauf dieser Frist ein Übergang der Zuständigkeit erfolgen würde.</w:t>
      </w:r>
    </w:p>
    <w:p>
      <w:r>
        <w:rPr>
          <w:b/>
        </w:rPr>
        <w:t>E. 4.3</w:t>
      </w:r>
    </w:p>
    <w:p>
      <w:r>
        <w:t>Damit erweist sich die formelle Rüge als unbegründet, weshalb der Rückweisungsantrag abzuweisen ist.</w:t>
      </w:r>
    </w:p>
    <w:p>
      <w:r>
        <w:rPr>
          <w:b/>
        </w:rPr>
        <w:t>E. 5.1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5.2</w:t>
      </w:r>
    </w:p>
    <w:p>
      <w:r>
        <w:t>Die Vorinstanz hat ihren Nichteintretensentscheid zutreffend damit begründet, dass der Beschwerdeführer nach Italien und damit in einen sicheren Drittstaat gemäss Art. 6a Abs. 2 Bst. b AsylG zurückkehren kann, wo er sich vorher aufgehalten hat und als Flüchtling anerkannt worden ist. Mit der Feststellung der Flüchtlingseigenschaft und der Erteilung einer (verlängerbaren) Aufenthaltsbewilligung haben die italienischen Behörden dem Beschwerdeführer Schutz vor Verfolgung gewährt, so dass er nach Italien zurückkehren kann, ohne eine Rückschiebung in Verletzung des Non-Refoulement-Gebotes befürchten zu müssen. Der Beschwerdeführer hat denn auch weder im erstinstanzlichen Verfahren noch auf Beschwerdeebene vorgebracht, es würde ihm in Italien eine Rückschiebung in seinen Heimatstaat unter Verletzung des Refoulement-Verbots drohen. Die italienischen Behörden haben sich am 24. November 2020 erneut bereit erklärt, ihn zurückzunehmen. Das SEM ist demzufolge zu Recht gestützt auf Art. 31a Abs. 1 Bst. a AsylG auf das Asylgesuch nicht eingetreten. Der Umstand, dass die Ehefrau und die Kinder des Beschwerdeführers in der Schweiz vorläufig aufgenommen sind, ändert nichts an diesem Ergebnis.</w:t>
      </w:r>
    </w:p>
    <w:p>
      <w:r>
        <w:rPr>
          <w:b/>
        </w:rPr>
        <w:t>E. 6.1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AIG Anwendung.</w:t>
      </w:r>
    </w:p>
    <w:p>
      <w:r>
        <w:rPr>
          <w:b/>
        </w:rPr>
        <w:t>E. 6.2</w:t>
      </w:r>
    </w:p>
    <w:p>
      <w:r>
        <w:t>Im Asyl- und Wegweisungsverfahren ist die Wegweisung nicht zu verfügen, wenn ein Anspruch auf Erteilung einer Aufenthaltsbewilligung besteht, wobei die kantonale Ausländerbehörde zuständig ist, über den Anspruch konkret zu befinden (vgl. BVGE 2013/37 E. 4.4; Entscheidungen und Mitteilungen der Schweizerischen Asylrekurskommission [EMARK] 2006 Nr. 23 E. 3.2; 2001 Nr. 21 E. 9). Ist die asylsuchende Person nicht im Besitze einer Aufenthalts- oder Niederlassungsbewilligung, ist im Asyl- und Wegweisungsverfahren mit Blick auf die mögliche Zuständigkeit der kantonalen Ausländerbehörde daher vorfrageweise zu prüfen (vgl. BVGE 2013/37 E. 4.4.2.2;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BVGE 2013/37 E. 5; EMARK 2001 Nr. 21 E. 8a und b sowie E. 9). Diese besagt, dass Ausländerinnen und Ausländern gestützt auf den in Art. 8 EMRK und Art. 13 Abs. 1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139 I 330 E. 2.1; 135 I 143 E. 1.3.1; 130 II 281 E. 3.1; EMARK 2005 Nr. 3 E. 3.1).</w:t>
      </w:r>
    </w:p>
    <w:p>
      <w:r>
        <w:rPr>
          <w:b/>
        </w:rPr>
        <w:t>E. 6.3</w:t>
      </w:r>
    </w:p>
    <w:p>
      <w:r>
        <w:t>Der Beschwerdeführer verfügt über keine ausländerrechtliche Aufenthaltsbewilligung. Seine Ehefrau wurde wegen Unzumutbarkeit des Vollzugs der Wegweisung mit Verfügung des SEM vom 4. September 2017 in der Schweiz vorläufig aufgenommen. Sie und die beiden, vom Beschwerdeführer anerkannten Kinder, verfügen mithin ebenfalls über kein gefestigtes Aufenthaltsrecht in der Schweiz. Auf den Schutz des Privat- und Familienlebens können sich in Ausnahmesituationen nach der Rechtsprechung des Europäischen Gerichtshofs für Menschenrechte (EGMR) auch Personen berufen, deren Anwesenheit rechtlich nicht geregelt ist beziehungsweise die allenfalls über kein (gefestigtes) Aufenthaltsrecht verfügen, deren Anwesenheit aber faktisch als Realität hingenommen wird beziehungsweise aus objektiven Gründen hingenommen werden muss. Im Urteil Agraw gegen die Schweiz vom 29. Juli 2010 (Nr. 3295/06) liess der EGMR die Berufung auf den Schutz des Familienlebens durch ein Ehepaar zu, dessen Asylgesuche erstinstanzlich abgewiesen worden waren und das während fünf Jahren in der Schweiz aus asylrechtlichen Gründen nicht zusammenleben durfte; zum Zeitpunkt der Heirat - so der Gerichtshof - sei klar gewesen, dass die angeordnete Wegweisung nicht in absehbarer Zeit würde vollzogen werden können; die Betroffenen seien für diese Situation nicht verantwortlich gewesen, weshalb die Schweiz ihnen gegenüber - losgelöst von deren Aufenthaltsstatus - die Konventionsgarantien zu erfüllen habe (vgl. BGE 138 I 246 E. 3.3.1). Abgesehen von dieser - im vorliegenden Fall nicht auszugehenden - Ausnahmesituation gilt: Wer über kein gefestigtes Anwesenheitsrecht verfügt, kann ein solches auch nicht einem Dritten verschaffen, selbst wenn eine gelebte familiäre Beziehung zur Diskussion stünde (vgl. BGE 130 II 281 E. 3.1, S. 286).</w:t>
      </w:r>
    </w:p>
    <w:p>
      <w:r>
        <w:rPr>
          <w:b/>
        </w:rPr>
        <w:t>E. 6.4</w:t>
      </w:r>
    </w:p>
    <w:p>
      <w:r>
        <w:t>Der Beschwerdeführer hat in der Schweiz ein Asylgesuch gestellt, obwohl er bereits in Italien als Flüchtling anerkannt wurde und dort Schutz geniesst. Sein hauptsächliches Anliegen liegt denn auch in einer Familienzusammenführung mit seiner Ehefrau und den Kindern (vgl. Akten A27, A29, A43, A44). Das (schweizerische) Asylverfahren darf indes nicht dazu verwendet werden, die gesetzlichen Bestimmungen über den Familiennachzug zu umgehen (vgl. in Bezug auf Art. 51 Abs. 1 AsylG BVGE 2019 VI/3 E. 5.7). Vom Beschwerdeführer und seiner Ehefrau kann verlangt werden, dass sie nach Erfüllung der gesetzlichen Voraussetzungen das dafür vorgesehene Verfahren gemäss Art. 85 Abs. 7 AIG und Art. 74 der Verordnung vom 24. Oktober 2007 über Zulassung, Aufenthalt und Erwerbstätigkeit (VZAE, SR 142.201) bei der zuständigen kantonalen Behörde einleiten (vgl. Urteil des BVGer D-7288/2018 vom 3. Dezember 2019 m.w.H. sowie BVGE 2019 VI/3 E. 6). Hinsichtlich des Kindeswohls ist anzumerken, dass mit einer Überstellung des Beschwerdeführers in einen Nachbarstaat (Italien) angesichts der geltenden Visumvorschriften weder ein persönlicher noch digitaler (bspw. mit Bild über Skype) oder telefonischer Kontakt zu seinen Kindern - trotz der Sprachbehinderung des älteren Kindes - verunmöglicht wird, dies auch unter Berücksichtigung der durch die Corona-Krise zeitweisen Einschränkungen bei der Grenzüberschreitung, zumal es sich dabei nicht um eine dauerhafte Situation handelt. Das Bundesverwaltungsgericht verkennt zwar die Mehrbelastung für die Mutter nach dem Vollzug der Wegweisung des Vaters nicht, indes könnte sie durch das Angebot der Fachstelle (...) des Kantons C._______ Entlastung finden (vgl. deren Bericht vom 19. März 2021). Die Wegweisung wurde demnach vom SEM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7.2.1</w:t>
      </w:r>
    </w:p>
    <w:p>
      <w:r>
        <w:t>Der Vollzug der Wegweisung ist nach Art. 83 Abs. 3 AIG unzulässig, wenn völkerrechtliche Verpflichtungen der Schweiz einer Weiterreise der Ausländerin oder des Ausländers in den Heimat-, Herkunfts- oder einen Drittstaat entgegenstehen.</w:t>
      </w:r>
    </w:p>
    <w:p>
      <w:r>
        <w:rPr>
          <w:b/>
        </w:rPr>
        <w:t>E. 7.2.2</w:t>
      </w:r>
    </w:p>
    <w:p>
      <w:r>
        <w:t>Nachdem der Beschwerdeführer in Italien als Flüchtling anerkannt wurde, besteht kein Anlass zur Annahme, es drohe ihm eine Verletzung des in Art. 33 Abs. 1 des Abkommens vom 28. Juli 1951 über die Rechtsstellung der Flüchtlinge (FK, SR 0.142.30) verankerten Grundsatzes der Nichtrückschiebung. Italien ist sodann Signatarstaat der EMRK und des Übereinkommens vom 10. Dezember 1984 gegen Folter und andere grausame, unmenschliche oder erniedrigende Behandlung oder Strafe (FoK, SR 0.105).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Es besteht kein "real risk" im Sinne einer konkreten Verweigerung seitens von Italien, dem Beschwerdeführer die Minimalgarantien im Sinne der genannten EU-Richtlinie zu gewähren (vgl. auch BVGE 2019/17 E. 5.5).</w:t>
      </w:r>
    </w:p>
    <w:p>
      <w:r>
        <w:rPr>
          <w:b/>
        </w:rPr>
        <w:t>E. 7.2.3</w:t>
      </w:r>
    </w:p>
    <w:p>
      <w:r>
        <w:t>Bezüglich seines Wunsches nach einem Zusammenleben mit seiner Ehefrau und den Kindern und der geltend gemachten Verletzung von Art. 8 EMRK und der KRK ist auf die Ausführungen zur Wegweisung in E. 6 respektive auf das dafür vorgesehene Familienzusammenführungsverfahren zu verweisen. Dem Beschwerdeführer kann zugemutet werden, von Italien aus ein solches Verfahren - entweder in Italien oder der Schweiz - anzustrengen. Der mit der Trennung einhergehende Eingriff ist verhältnismässig, zumal die Aufrechterhaltung des Kontakts auch bei der räumlichen Trennung möglich ist und nur von vorübergehender Dauer wäre, sofern das Familiennachzugsverfahren positiv verlaufen würde. Zudem ist festzustellen, dass der Beschwerdeführer zwar angab, einem Gesuch in Italien sei nicht Folge geleistet worden. Dies wurde aber mit keinerlei Belegen untermauert, weshalb nicht weiter darauf einzugehen ist. Auch ist nicht von einem ungenügend erstellten Sachverhalt hinsichtlich der Zumutbarkeit eines allfälligen Familienlebens in Italien auszugehen, ist dies doch nicht im Rahmen des vorliegenden Verfahrens sondern allenfalls im Familiennachzugsverfahren zu prüfen.</w:t>
      </w:r>
    </w:p>
    <w:p>
      <w:r>
        <w:rPr>
          <w:b/>
        </w:rPr>
        <w:t>E. 7.2.4</w:t>
      </w:r>
    </w:p>
    <w:p>
      <w:r>
        <w:t>Der Vollzug der Wegweisung nach Italien erweist sich somit als zulässig.</w:t>
      </w:r>
    </w:p>
    <w:p>
      <w:r>
        <w:rPr>
          <w:b/>
        </w:rPr>
        <w:t>E. 7.3.1</w:t>
      </w:r>
    </w:p>
    <w:p>
      <w:r>
        <w:t>Der Vollzug der Wegweisung kann nach Art. 83 Abs. 4 AIG für Ausländerinnen und Ausländer unzumutbar sein, wenn sie im Heimat- oder Herkunftsstaat auf Grund von Situationen wie Krieg, Bürgerkrieg, allgemeiner Gewalt und medizinischer Notlage konkret gefährdet sind.</w:t>
      </w:r>
    </w:p>
    <w:p>
      <w:r>
        <w:rPr>
          <w:b/>
        </w:rPr>
        <w:t>E. 7.3.2</w:t>
      </w:r>
    </w:p>
    <w:p>
      <w:r>
        <w:t>Die Vorinstanz hat in der angefochtenen Verfügung die Zumutbarkeit des Wegweisungsvollzugs mit zutreffender Begründung bejaht. Zur Vermeidung von Wiederholungen kann auf die diesbezüglichen Erwägungen in der angefochtenen Verfügung und der Vernehmlassung vom 30. Dezember 2020 verwiesen werden. Die diesbezüglichen Einwendungen in der Beschwerdeschrift und der Replik vermögen zu keiner anderen Betrachtungsweise zu führen. Als anerkannter Flüchtling hat er Anspruch auf die gleiche Fürsorge und öffentliche Unterstützung wie italienische Staatsbürger (Art. 23 FK) und ihm stehen in Italien die Rechte aus der erwähnten Richtlinie 2011/95/EU zu. Dazu gehören Ansprüche bezüglich Zugang zu Wohnraum, Sozialleistungen und medizinischer Versorgung. Es liegen keine erhärteten Hinweise vor, wonach sich Italien systematisch nicht an seine diesbezüglichen Verpflichtungen halten würde. Der diesbezüglich eingereichte Bericht der SFH/Pro Asyl vom 29. Oktober 2020 führt zu keiner anderen Einschätzung. Somit obliegt es dem Beschwerdeführer, bei den zuständigen Behörden seine Rechte betreffend finanzielle oder anderweitige Unterstützung geltend zu machen und nötigenfalls auf dem Rechtsweg durchzusetzen. Insgesamt besteht kein Anlass zur Annahme, er würde im Falle einer Rückführung nach Italien in eine existenzielle Notlage geraten. Damit erweist sich der Vollzug der Wegweisung nach Italien als zumutbar.</w:t>
      </w:r>
    </w:p>
    <w:p>
      <w:r>
        <w:rPr>
          <w:b/>
        </w:rPr>
        <w:t>E. 7.4</w:t>
      </w:r>
    </w:p>
    <w:p>
      <w:r>
        <w:t>Gemäss Art. 44 AsylG ist beim Vollzug einer angeordneten Wegweisung der Grundsatz der Einheit der Familie zu berücksichtigen. Art. 44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c/ee; 1995 Nr. 24 E. 9, die sich hierfür freilich noch auf Art. 17 Abs. 1 AsylG in der Fassung gemäss Ziff. I des BB vom 22. Juni 1990 über das Asylverfahren [AS 1990 938] beziehen, welcher inhaltlich indessen Art. 44 AsylG entspricht). Diese Regel gilt jedoch nicht ausnahmslos. Nicht zur Anwendung gelangt der Grundsatz der Einheit der Familie unter anderem dann, wenn die einzubeziehende Person - wie vorliegend der Beschwerdeführer nach einem ersten erfolglosen Asylgesuch und Rückkehr nach Italien erneut am 28. Mai 2018 - in der Schweiz ein Asylgesuch eingereicht hat, nachdem ein Familienmitglied - wie vorliegend seine Ehefrau mit Verfügung des SEM vom 4. September 2017 - die vorläufige Aufnahme erhalten hat, da in dieser Konstellation von einer Umgehung der ausländerrechtlichen Nachzugsbestimmung gemäss Art. 85 Abs. 7 AIG auszugehen ist (vgl. BVGE 2017 VII/8 E. 5.3).</w:t>
      </w:r>
    </w:p>
    <w:p>
      <w:r>
        <w:rPr>
          <w:b/>
        </w:rPr>
        <w:t>E. 7.5</w:t>
      </w:r>
    </w:p>
    <w:p>
      <w:r>
        <w:t>Die zuständigen italienischen Behörden haben gestützt auf das einschlägige Abkommen die Rückübernahme des Beschwerdeführers am 6. Februar 2019 explizit zugesichert und einer Verlängerung der Rückübernahmefrist am 24. November 2020 zugestimmt. Der Vollzug der Wegweisung des Beschwerdeführers nach Italien erweist sich somit auch als möglich im Sinne von Art. 83 Abs. 2 AIG.</w:t>
      </w:r>
    </w:p>
    <w:p>
      <w:r>
        <w:rPr>
          <w:b/>
        </w:rPr>
        <w:t>E. 7.6</w:t>
      </w:r>
    </w:p>
    <w:p>
      <w:r>
        <w:t>Zusammenfassend ergibt sich, dass der vom SEM angeordnete Wegweisungsvollzug nicht zu beanstanden ist. Eine Anordnung der vorläufigen Aufnahme fällt demnach ausser Betracht (vgl. Art. 83 Abs. 1-4 AIG).</w:t>
      </w:r>
    </w:p>
    <w:p>
      <w:r>
        <w:rPr>
          <w:b/>
        </w:rPr>
        <w:t>E. 8</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9.1</w:t>
      </w:r>
    </w:p>
    <w:p>
      <w:r>
        <w:t>Bei diesem Ausgang des Verfahrens wären dessen Kosten dem Beschwerdeführer aufzuerlegen (Art. 63 Abs. 1 und 5 VwVG). Da ihm jedoch mit Verfügung vom 21. Dezember 2020 die unentgeltliche Prozessführung gewährt worden war und aufgrund der Akten weiterhin von der Bedürftigkeit des Beschwerdeführers ausgegangen werden kann, werden keine Verfahrenskosten erhoben.</w:t>
      </w:r>
    </w:p>
    <w:p>
      <w:r>
        <w:rPr>
          <w:b/>
        </w:rPr>
        <w:t>E. 9.2</w:t>
      </w:r>
    </w:p>
    <w:p>
      <w:r>
        <w:t>Mit derselben Verfügung wurde ausserdem der Antrag auf Gewährung der unentgeltlichen Rechtsverbeiständung gutgeheissen und dem Beschwerdeführer seine Rechtsvertreterin als amtliche Rechtsbeiständin beigeordnet. Demnach ist dieser zu Lasten des Gerichts ein amtliches Honorar für ihre notwendigen Aufwendungen im Beschwerdeverfahren auszurichten (Art. 65 Abs. 5 VwVG und Art. 12 des Reglements vom 21. Februar 2008 über die Kosten und Entschädigungen vor dem Bundesverwaltungsgericht [VGKE, SR 173.320.2] i.V.m. Art. 8 ff. VGKE). Die Rechtsvertreterin reichte am 23. Dezember 2020 eine Honorarnote ein. Der darin ausgewiesene zeitliche Aufwand von 635 Minuten Stunden erscheint zu hoch und ist auf sechs Stunden zu kürzen. Unter Berücksichtigung der weiteren Eingaben vom 19. Januar 2021, 26. Januar 2021, 16. März 2021 und 1. April 2021 ist von einem zeitlichen Gesamtaufwand von neun Stunden auszugehen. Ausgehend von einem Ansatz von höchstens Fr. 150.- für nicht-anwaltliche Vertreter ist der Rechtsbeiständin deshalb ein Honorar von Fr. 1'454.-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