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E-632/2014 vom 3. Juni 2014</w:t>
      </w:r>
    </w:p>
    <w:p>
      <w:r>
        <w:t>Bundesverwaltungsgericht, 2014-06-03, DE</w:t>
      </w:r>
    </w:p>
    <w:p>
      <w:r>
        <w:rPr>
          <w:b/>
        </w:rPr>
        <w:t xml:space="preserve">Quelle: </w:t>
      </w:r>
      <w:r>
        <w:t>https://mcp.opencaselaw.ch/entscheid/bvger_E-632_2014</w:t>
      </w:r>
    </w:p>
    <w:p>
      <w:r>
        <w:t>FR: TAF E-632/2014 du 3 juin 2014</w:t>
      </w:r>
    </w:p>
    <w:p>
      <w:r>
        <w:t>IT: TAF E-632/2014 del 3 giugno 2014</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sowie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hält die Vorbringen des Beschwerdeführers in jeder Hinsicht für unglaubhaft (act. A13/7, S. 3 ff.). Die Schilderungen in Bezug auf den Besuch der Schwester E._______ bei den Eltern im März 2012 seien nicht überzeugend, insbesondere weil der Beschwerdeführer keine Angaben zu ihrem Status in Grossbritannien habe liefern können. Kaum nachvollziehbar sei auch, dass die Schwester sich so riskant verhalten und einen Laptop mit kompromittierendem Material nach Iran eingeführt und diesen dann in Reparatur gegeben haben soll. Das BFM hält des Weiteren nicht nur die Umstände der Verhaftung der Schwester D._______ für unplausibel und bezweifelt, dass die Familie tatsächlich über so lange Zeit nichts über ihren Verbleib in Erfahrung habe bringen können, es schätzt auch die gesamten Umstände ihrer Freilassung und des Spitalaufenthaltes als nicht nachvollziehbar ein und bemängelt, dass sich der Beschwerdeführer nicht detaillierter darüber habe äussern können, was seiner Schwester während ihrer Inhaftierung wiederfahren sei. Schliesslich seien auch seine Schilderungen bezüglich der Flucht der Schwester D._______, die in angeblich sehr schlechtem Gesundheitszustand auf dem Landweg nach Grossbritannien habe flüchten können, nicht glaubhaft. Dem Beschwerdeführer gelinge es schliesslich auch nicht, die Vorinstanz davon zu überzeugen, warum die Behörden nach der Flucht der Schwester speziell nach ihm gesucht hätten und warum er dennoch das Risiko eingegangen sei, mit seinem eigenen Pass das Land zu verlassen. Überdies bezweifelt das BFM, dass aus dem Interesse des Beschwerdeführers am christlichen Glauben und seinem Gebrauch eines israelischen Reisepasses zukünftige staatliche Verfolgungshandlungen durch die iranischen Behörden resultieren könnten. Der Beschwerdeführer habe sein Interesse am christlichen Glauben nicht in einer Weise geäussert, welche die Aufmerksamkeit der Behörden auf ihn lenke. In seiner Vernehmlassung zur Beschwerde (act. A27/7) ergänzt das BFM in Hinblick auf die mit der Beschwerde eingereichten Beweismittel, dass nicht verständlich sei, dass der Beschwerdeführer nur Kopien mit geringem Beweiswert eingereicht habe. Die Vorinstanz stuft die Vorladungen als Fälschungen ein. Darüber hinaus ergäben sich aus den eingereichten Dokumenten auch inhaltliche Widersprüche zu den Aussagen des Beschwerdeführers in der Anhörung. Auch habe der Beschwerdeführer den Umstand, dass er vor Gericht vorgeladen worden sei, im Verfahren nicht erwähnt, obwohl er dies hätte wissen müssen (act. A27/2, S. 2).</w:t>
      </w:r>
    </w:p>
    <w:p>
      <w:r>
        <w:rPr>
          <w:b/>
        </w:rPr>
        <w:t>E. 4.2</w:t>
      </w:r>
    </w:p>
    <w:p>
      <w:r>
        <w:t>Der Beschwerdeführer hält an der Wahrheit seiner Vorbringen fest und präzisierte sie in der Beschwerdeschrift (vgl. Übersetzung act. A22/6) und in der Replik (vgl. Übersetzung act. A35/8). Er reichte schliesslich auch die beiden Vorladungen im Original ein (A 43, Ziff. 1 und 2), welche er per Post von seiner Schwester erhalten habe. Er rechtfertigt den Vorhalt, nichts Genaueres über den Status seiner Schwester in Grossbritannien zu wissen, mit dem Umstand, dass diese heiklen Informationen nicht am Telefon ausgetauscht werden könnten, da die Telefone abgehört würden, seit sein Schwager von den Behörden auch bei seinen Eltern gesucht worden sei. Seine Schwester E._______ habe den Computer mitgebracht, weil sie eine harte Regimegegnerin sei und die Familie mehr habe erfahren wollen. Sie habe gewusst, dass nicht jeder Computer am Zoll kontrolliert werde. Sie habe die heiklen Daten auf dem Laptop gelöscht, bevor er in Reparatur gegeben worden sei, habe jedoch nicht gewusst, dass man die Daten wiederherstellen könne (act. A22/6, S. 3). Ferner sei bekannt, dass die iranischen Behörden Regimegegner ohne ordentliches Verfahren verhafteten, gefangen hielten und sogar hinrichteten, ohne dass die Angehörigen je informiert würden. Die Schwester D._______ sei nur aufgrund der Zahlung einer äusserst hohen Kaution freigekommen; der Beschwerdeführer nennt in der Beschwerde Beispiele von ähnlich gelagerten Freilassungen (act. A22/6, S. 2). Auch die Umstände der Verhaftung seiner Schwester erläutert der Beschwerdeführer: Seine Schwester habe sich verdächtig gemacht, weil der Laptop aus dem Ausland gekommen sei, man habe sie in flagranti erwischen wollen und daher im Computergeschäft verhaftet. Nach ihrer Freilassung sei sie nicht ansprechbar gewesen und die Familie sei gezwungen gewesen, schnell zu handeln, nachdem die Schwester monatelang gefoltert worden war. Nachdem D._______ wieder zurechnungsfähig gewesen sei, habe sie insistiert, ausser Landes gehen zu können (act. A22/6, S. 4). Bezüglich der von der Vorinstanz ausgemachten Widersprüche hinsichtlich der Daten auf den Vorladungen führt der Beschwerdeführer in der Replik aus, dass zunächst eine Vorladung gekommen sei, seine Schwester habe sich innerhalb von 72 Stunden zu melden. Auf diese Vorladung hin habe man überstürzt die Flucht organisiert, das betreffende Dokument sei bei den anschliessenden Hausdurchsuchungen verloren gegangen. Die zweite - den Schweizer Behörden nun vorliegende Vorladung - sei eingetroffen, als D._______ der ersten Vorladung nicht Folge geleistet habe (act. A35/8, S. 2). Er selber habe zum Zeitpunkt der Anhörung nicht gewusst, dass auch er vorgeladen worden sei, die Vorladung, datiert auf den (...) Dezember 2013, sei erst nach seiner Ausreise (am 19. November 2013) eingetroffen. Er habe erst nach dem Anhörungstermin vom 24. Januar 2014 von ihr Kenntnis erhalten, als seine Schwester ihm die Unterlagen per Email geschickt habe (act. A35/8, S. 3). Den Vorhalt, dass zunächst nur Kopien eingereicht worden seien, erklärte er damit, dass es zu gefährlich gewesen wäre, die seine Familie belastenden Vorladungen einfach per Post zu schicken (act. A22/6, S. 4, bzw. A35/8, S. 2). Seine Eltern hätten die Dokumente vorerst per Email geschickt (act. A 22/6, S. 4). Erst mit Hilfe eines Freundes der Familie sei es möglich gewesen, die Originale ausser Landes zu bringen (act. A35/8, S. 2). Schliesslich seien die Original-Vorladungen per Post von Grossbritannien in die Schweiz geschickt worden (vgl. A 43, Ziff. 7). Zur weiteren Untermauerung seiner Vorbringen reichte der Beschwerdeführer mehrere Dokumente in Kopie ein, denen zu entnehmen ist, dass seine Schwester E._______ in Grossbritannien als Flüchtling anerkannt wurde und seine Schwester D._______ in Grossbritannien im Dezember 2013 ein Asylgesuch stellte und dort auch medizinisch behandelt wurde (A. 18/14, sowie A 43, Ziff. 3).</w:t>
      </w:r>
    </w:p>
    <w:p>
      <w:r>
        <w:rPr>
          <w:b/>
        </w:rPr>
        <w:t>E. 5</w:t>
      </w:r>
    </w:p>
    <w:p>
      <w:r>
        <w:t>Das Bundesverwaltungsgericht teilt die Einschätzung der Vorinstanz und kommt ebenfalls zum Schluss, dass die Vorbringen des Beschwerdeführers nicht glaubwürdig sind. Obwohl er seine Fluchtgründe grundsätzlich konsistent und ohne gravierende Widersprüche schildert, vermögen sie in der Gesamtschau nicht zu überzeugen. Seine Vorbringen sind in zentralen Punkten nicht plausibel, und die Schilderungen fallen - auch bezüglich wesentlicher Aspekte - sehr oberfläch, vage und wenig detailliert aus. Bereits der Ausgangspunkt der Fluchtgeschichte - die Reise der Schwester E._______, welche in Grossbritannien über den Flüchtlingsstatus verfügt, mit einem Rückreisevisum oder anderen britischen Reisepapieren in den Iran, um das Neujahrsfest mit der Familie zu feiern - wirkt wenig wahrscheinlich. Nach Schweizer Praxis stellt eine Reise ins Heimatland einen Anwendungsfall von Art. 1 C Ziff. 1 des Abkommens vom 28. Juli 1951 über die Rechtsstellung der Flüchtlinge (FK, SR 0.142.30) dar, der die Aufhebung des Flüchtlingsstatus nach sich ziehen kann. Auch Art. 339A der UK Immigration Rules bezieht sich auf diese Bestimmung der Flüchtlingskonvention, ebenso wie Art. 11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(Abl. L 337/9 vom 20.12.2011). Das Britische Recht sieht zwar vor, dass in Ausnahmefällen auch anerkannten Flüchtlingen eine Reise ins Heimatland bewilligt werden kann, zum Beispiel im Fall einer schweren Krankheit oder bei Beerdigungen von nahen Angehörigen. In diesen Fällen kommt Art. 339A der Immigration Rules nicht zur Anwendung, von einem Widerruf des Flüchtlingsstatus wird abgesehen (vgl. dazu UK Home Office, Operational Policy and Process Policy, Guidance and Casework Instruction, Cancellation, Cessation &amp; Revocation of Refugee Status, 18. Dezember 2008, Version 3.0, S.15f., www.gov.uk/government/uploads/system/uploads/attachment_data/file/257382/cessation.pdf, abgerufen am 6. Mai 2014). Aus dem Vortrag des Beschwerdeführers sind solche aussergewöhnlichen Umstände, die eine entsprechende Bewilligung rechtfertigen würden, jedoch nicht ersichtlich.Abgesehen davon würde die Schwester aber angesichts ihres durch die Flüchtlingsanerkennung und die politischen Aktivitäten ihres Ehemannes geschärften politischen Profils auch Gefahr laufen, von den iranischen Sicherheitsbehörden verhaftet zu werden. Der Beschwerdeführer macht diesbezüglich widersprüchliche Angaben. In der Anhörung bringt er vor, seine Schwester habe keine politischen Probleme gehabt, nur ihr Ehemann, daher habe sie wieder in den Iran reisen können (act. A12/18, F. 41, S. 6). An anderer Stelle bezeichnet er sie als "harte Gegnerin des Staates" (act. A22/6, S. 3) und sagt, dass alle Probleme der Familie mit den Behörden auf sie zurückzuführen seien (act. A12/18, F. 8, S. 3). Insgesamt bleibt nicht nachvollziehbar, dass die Schwester ein derartiges Risiko eingehen würde. Der Beschwerdeführer kann ferner über die Reisemodalitäten seiner Schwester, wie auch von der Vorinstanz festgestellt, nur sehr vage Angaben machen. Es wäre jedoch anzunehmen, dass man sich in der Familie angesichts der sehr heiklen Reiseumstände während eines mehrwöchigen Besuchs darüber ausgetauscht hätte. Auch der Umstand, dass E._______ einen Laptop mit kompromittierendem politischem Material eingeführt haben soll, ist unter diesen Umständen nicht sehr wahrscheinlich. Es wäre vielmehr zu erwarten, dass eine Person, die in dieser Situation die Einreise in den Iran wagt, alles vermeiden würde, was sie in Schwierigkeiten bringen könnte. Der Beschwerdeführer gibt auch wenig Gründe dafür an, warum die Schwester dieses Material überhaupt mitgebracht habe. In der Anhörung führte er lediglich aus, dass seine Familie Interesse an diesen Dingen gehabt habe (act. A12/18, F. 97, S. 11).</w:t>
      </w:r>
    </w:p>
    <w:p>
      <w:r>
        <w:rPr>
          <w:b/>
        </w:rPr>
        <w:t>E. 5.1</w:t>
      </w:r>
    </w:p>
    <w:p>
      <w:r>
        <w:t>Nach diesen Erwägungen vermag auch die Schilderung rund um die Reparatur des Computers nicht zu überzeugen. Selbst wenn der Laptop einen Defekt gehabt hätte, ist nicht ersichtlich, warum die Reparatur im Iran hätte erfolgen müssen und die Schwester ihn nicht auch in defektem Zustand zurück nach Grossbritannien hätte nehmen können. Die Umstände der Reparatur, die schliesslich in der Verhaftung der jüngeren Schwester resultierten, wirken insgesamt sehr konstruiert und damit wenig glaubhaft. Gleiches gilt für die Schilderungen der Haft der Schwester D._______ und ihrer Entlassung nach 19 Monaten. Zwar werden kritische Personen laut Berichten in Iran wegen "Propaganda gegen das System" willkürlich und ungesetzlich verhaftet, und die Angehörigen werden darüber nicht in Kenntnis gesetzt (vgl. United States Department of State, Bureau of Democracy, Human Rights and Labor, Country Reports on Human Rights Practices for 2013, Disappearances, S. 5f. und Arbitrary Arrest or Detention, S. 10 f., www.state.gov/documents/organization/220564.pdf). Auch sind seit Jahren Fälle dokumentiert, in denen politische Gefangene gegen Kaution für eine Gesundheitsbehandlung auf freien Fuss gesetzt wurden oder zu ihren Familien zurückkehren dürfen (vgl. dazu Michael Kirschner, Iran: Die Praxis von iranischen Gerichten bei Hafturlaub und Kaution für politische Häftlinge, Auskunft der SFH-Länderanalyse, Bern 31. Oktober 2005; US-State Department Bericht 2013, a.a.O., Arrest Procedures and Treatment of Detainees, S. 10; weitere Beispiele in: Human Rights Watch, Why They Left - Stories of Iranian Activists in Exile,. Dezember 2012, ISBN 1-56432-971-2). Doch in casu fallen die Ausführungen des Beschwerdeführers insgesamt wenig konkret und kaum detailliert aus. Insbesondere zu der Frage, warum genau seine Schwester inhaftiert wurde, wohin man sie verschleppt hat und was ihr während ihrer langen Inhaftierung wiederfahren ist, kann der Beschwerdeführer nur sehr vage Auskunft geben. In der Befragung zur Person schildert er, dass sie ernste gesundheitliche Probleme gehabt habe, wegen Veränderungen an ihrer Wirbelsäule behandelt worden sei und zunächst nichts habe essen können (act. A9/29, Ziff. 7.01, S. 11). Auch sei ihr Gesundheitszustand selbst nach zwei Wochen noch schlecht gewesen. In der Anhörung führt er aus, dass D._______ fast bewusstlos gewesen sei, als sie vom Geheimdienst übergeben worden sei, und dass sie erst im Spital zu sich gekommen sei (act. A12/18, F. 62, S. 8). Erst nach zwei Wochen habe sie wieder essen und sitzen können (ebenda, F. 81, S. 10). In der Beschwerde beschreibt er, dass seine Schwester das Land habe verlassen wollen, weil sie in der Haft gefoltert worden sei (act. A22/6, S. 4). Insgesamt bleiben die Schilderungen in diesem Punkt sehr ungenau, obwohl der Beschwerdeführer mehrmals Gelegenheit hatte zur ausführlichen Darlegung des Sachverhaltes.</w:t>
      </w:r>
    </w:p>
    <w:p>
      <w:r>
        <w:rPr>
          <w:b/>
        </w:rPr>
        <w:t>E. 5.2</w:t>
      </w:r>
    </w:p>
    <w:p>
      <w:r>
        <w:t>Auch die zunächst in Kopie und dann im Original eingereichten Dokumente vermögen an dieser Einschätzung nichts zu ändern. Der Beschwerdeführer reichte als Belege für sein Vorbringen zwei Vorladungen ein, die ihn und seine Schwester D._______ betreffen und vom "Öffentlichen und Revolutionsgericht" in G._______ ausgestellt wurden. Diese Dokumente liess sich der Beschwerdeführer zunächst am 4. Februar 2014 durch seine Schwester E._______ aus Grossbritannien per Email schicken und reichte sie als Kopie ein; am 8. März 2014 erhielt er per Post von seiner Schwester die Originale, die er dem BFM übergab (vgl. A 43, Ziff. 1, 2). Der Fachdienst / Dokumentenstelle der Flughafenspezialabteilung der [kantonale Behörde] kam in seinem Bericht vom 15. Januar 2014 bezüglich der Gerichtsvorladungen zum Ergebnis, dass keine objektiven Fälschungsmerkmale festgestellt werden konnten. Allerdings konnte der Fachdienst die Echtheit der Schriftstücke nicht abschliessend beurteilen, da es an authentischem Vergleichsmaterial fehlte (act. A34/5). Der Beschwerdeführer selbst erhielt eine als "Ekhtarieh" bezeichnete Vorladung, seine Schwester eine als "Ehzarieh" bezeichnete. Gemäss eines Berichtes des UK Home Office verfolgen beide Typen von Vorladungen denselben Zweck: Beide ermöglichen es einer Person, vor Gericht zu erscheinen und Stellung zu nehmen. Beide Verfügungen ergehen durch das Gericht, wobei es sich beim "Ekhtarieh" um die Vorladung zu einer laufenden Ermittlung handelt, während "Ehzarieh" gewählt wird, wenn das Gericht eine Verhandlung anberaumt hat und der belangten Person eine letzte Möglichkeit einräumt, sich freiwillig vor Gericht zu begeben (vgl. United Kingdom: Home Office, Country of Origin Information Report - Iran, 16 January 2013, Ziff. 11.49, S. 72, abgerufen am 6. Mai 2014 auf: www.refworld.org/docid/510136952.html). Der Beschwerdeführer wird gemäss dem "Ekhtarieh" aufgefordert, sich beim Gericht einzufinden, damit seine Teilnahme am Klageverfahren (der Schwester) und seine Hilfeleistung bei der Flucht der Angeklagten aufgeklärt werden könne (vgl. Beschwerdeakten, Ziff. 11). Die Schwester wird dagegen unter korrespondierendem Aktenzeichen vorgeladen, mit dem Vermerk, dass das Gericht in Abwesenheit entscheiden werde, sofern der Vorladung nicht Folge geleistet werde (vgl. ebenda). Beide Dokumente stützen die Ausführungen des Beschwerdeführers, da er sich erstmalig für eine Beweisaufnahme hätte melden müssen, der Ladung zum Gerichtstermin für seine Schwester nach seinen Angaben bereits eine erste Vorladung vorausgegangen sei. Dennoch geht das Gericht mit der Vorinstanz einig, dass es sich bei den eingereichten Beweismitteln höchstwahrscheinlich um für das Asylverfahren gekaufte Dokumente handelt. Dafür spricht, dass die Unterlagen stets aus Grossbritannien an den Beschwerdeführer geschickt wurden. Zwar erläutert er in der Replik, wie ein Bekannter die Original-Vorladungen ausser Landes geschmuggelt und sie seiner Schwester in Grossbritannien aushändigt habe (act. A35/8, S. 2). Es ist jedoch nicht plausibel, warum die Kopien der Unterlagen erst über den Umweg Grossbritannien an den Beschwerdeführer gemailt wurden. Immerhin hätte die Person, welche die Original-Dokumente bereits im Iran gescannt hat, diese auch problemlos direkt an den Beschwerdeführer mailen können. Es ist nicht ersichtlich, dass das Senden einer Email in die Schweiz gefährlicher sein soll als eine Email nach Grossbritannien. Ferner liegen dem Gericht Berichte vor, dass entsprechende gefälschte Gerichtsdokumente erworben werden können: Anlässlich einer Abklärungsreise im Jahr 2013 wurde der Danish Refugee Council durch Vertreter einer ausländische Botschaft informiert, dass es im Iran möglich sei, echt aussehende, aber gefälschte Gerichtsdokumente zu kaufen. Dabei sei zwischen echten Dokumenten mit manipuliertem Inhalt und gefälschten Dokumenten zu unterscheiden (vgl. Danish Refugee Council / Landinfo / Danish Immigration Service, On Conversion to Christianity, Issues concerning Kurds and Post-2009 Election Protestors as well as Legal Issues and Exit Procedures, 02.2013, www.landinfo.no/asset/2313/1/2313_1.pdf, abgerufen am 06. Mai 2014). Im vorliegenden Fall kommt das Gericht angesichts der obigen Ausführungen zum Schluss, dass der Beschwerdeführer Dokumente eingereicht hat, die zwar echt aussehen, jedoch nicht von den entsprechenden Behörden ausgestellt wurden, sondern entweder in Iran oder in Grossbritannien von Dritten erstellt wurden. Das Gericht geht davon aus, dass sich der Beschwerdeführer die Vorladungen eigens für sein Asylverfahren herstellen liess. Aus diesem Grund können auch die eingereichten Beweismittel die Vermutung nicht umstossen, dass der Beschwerdeführer seine Vorbringen nicht so erlebt, sondern seine Fluchtgeschichte konstruiert hat. Diese ist in zu vielen Aspekten unplausibel geblieben, gleichzeitig waren die entsprechenden Ausführungen des Beschwerdeführers zu wenig detailliert.</w:t>
      </w:r>
    </w:p>
    <w:p>
      <w:r>
        <w:rPr>
          <w:b/>
        </w:rPr>
        <w:t>E. 5.3</w:t>
      </w:r>
    </w:p>
    <w:p>
      <w:r>
        <w:t>Nach dem Gesagten erweist sich die Beschwerde hinsichtlich der Anfechtung der Verneinung der Flüchtlingseigenschaft durch die Vorinstanz als unbegründet. Dem Beschwerdeführer ist es nicht gelungen, eine Verfolgung glaubhaft zu machen, weshalb das BFM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Iran herrscht keine Situation von Krieg, Bürgerkrieg oder allgemeiner Gewalt. Auch in individueller Hinsicht macht der Beschwerdeführer nichts geltend, was auf die Unzumutbarkeit des Vollzugs seiner Wegweisung hindeuten könnte. Er hat in G._______ nach eigenen Angaben [ein Geschäft] mit fünf Angestellten betrieben und verfügte über ein sehr gutes Einkommen (act. A9/29, F. 1.17.05 und F. 1.17.07, S. 5). Seine Ehefrau und die Kinder leben in B._______, seine Eltern und weitere Verwandte in G._______, wo der Beschwerdeführer auch arbeitet. Er hat ein tragfähiges soziales Beziehungsnetz (act. A9/29, F. 2.01, S. 5, F. 3.01, S. 7). Insbesondere sein Onkel ist als Besitzer [eines Geschäfts] vermögend, er konnte dem Beschwerdeführer und seinen Geschwistern die Flucht ins Ausland finanzieren (act. A9/29, F. 7.01, S. 12). Der Beschwerdeführer wird - weil ihm im Heimatland wie oben ausgeführt keine Verfolgung droht - sich im Iran auch wieder eingliedern und seinen Lebensunterhalt selbst bestreiten können. Nach dem Gesagten erweist sich der Vollzug der Wegweisung auch als zumutbar.</w:t>
      </w:r>
    </w:p>
    <w:p>
      <w:r>
        <w:rPr>
          <w:b/>
        </w:rPr>
        <w:t>E. 7.5</w:t>
      </w:r>
    </w:p>
    <w:p>
      <w:r>
        <w:t>Schliesslich ist festzuhalten, dass der Beschwerdeführer der Vorinstanz einen gültigen iranischen Reisepass abgegeben hat, weshalb das Gericht davon ausgeht, dass der Vollzug der Wegweisung auch möglich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und auch sonst nicht zu beanstanden ist (Art. 106 Abs. 1 AsylG). Die Beschwerde ist abzuweisen.</w:t>
      </w:r>
    </w:p>
    <w:p>
      <w:r>
        <w:rPr>
          <w:b/>
        </w:rPr>
        <w:t>E. 9</w:t>
      </w:r>
    </w:p>
    <w:p>
      <w:r>
        <w:t>Bei diesem Ausgang des Verfahrens sind die Kosten grundsätzlich dem Beschwerdeführer aufzuerlegen (Art. 63 Abs. 1 VwVG) und auf insgesamt Fr. 600.- festzusetzen (Art. 1 - 3 des Reglements vom 21. Februar 2008 über die Kosten und Entschädigungen vor dem Bundesverwaltungsgericht [VGKE, S 173.320.2]).</w:t>
      </w:r>
    </w:p>
    <w:p>
      <w:r>
        <w:rPr>
          <w:b/>
        </w:rPr>
        <w:t>E. 10</w:t>
      </w:r>
    </w:p>
    <w:p>
      <w:r>
        <w:t>Der Beschwerdeführer hatte in seiner Eingabe vom 6. Februar 2013 die unentgeltliche Rechtspflege (Art. 65 Abs. 1 VwVG) beantragt. Das Gericht weist diesen Antrag ab, da der Beschwerdeführer nicht bedürftig ist. Die Voraussetzungen des Art. 65 Abs. 1 VwVG liegen nicht vor. Gemäss Aktenlage führte der Beschwerdeführer bei der Gesuchstellung 2254.- USD und 29.30 HKD bei sich (act. A9/29, F. 1.17.07, S. 5). In den Akten der Vorinstanz findet sich kein Hinweis, dass dieses Geld eingezogen wurde gemäss Art. 87 AsylG i.V.m. Art. 16 ff. der Asylverordnung 2 vom 11. August 1999 (AsylV 2, SR 142.312). Nach Auskunft der zuständigen Sozialbehörde bezieht der Beschwerdeführer derzeit Sozialhilfe, es ist deshalb davon auszugehen, dass er über den oben erwähnten Betrag noch verfügt.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