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E-6329/2016 vom 20. Oktober 2016</w:t>
      </w:r>
    </w:p>
    <w:p>
      <w:r>
        <w:t>Bundesverwaltungsgericht, 2016-10-20, DE</w:t>
      </w:r>
    </w:p>
    <w:p>
      <w:r>
        <w:rPr>
          <w:b/>
        </w:rPr>
        <w:t xml:space="preserve">Quelle: </w:t>
      </w:r>
      <w:r>
        <w:t>https://mcp.opencaselaw.ch/entscheid/bvger_E-6329_2016</w:t>
      </w:r>
    </w:p>
    <w:p>
      <w:r>
        <w:t>FR: TAF E-6329/2016 du 20 octobre 2016</w:t>
      </w:r>
    </w:p>
    <w:p>
      <w:r>
        <w:t>IT: TAF E-6329/2016 del 20 ottobre 2016</w:t>
      </w:r>
    </w:p>
    <w:p>
      <w:pPr>
        <w:pStyle w:val="Heading2"/>
      </w:pPr>
      <w:r>
        <w:t>Regeste</w:t>
      </w:r>
    </w:p>
    <w:p>
      <w:r>
        <w:t>Flughafenverfahren (Asyl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2.3</w:t>
      </w:r>
    </w:p>
    <w:p>
      <w:r>
        <w:t>Grundsätzlich sind Eingaben an das Bundesverwaltungsgericht nach Art. 16 Abs. 1 AsylG in einer der Amtssprachen abzufassen. Reicht eine asylsuchende Person fremdsprachige Dokumente ein, so kann von ihr nach Art. 8 Abs. 2 AsylG verlangt werden, für die Übersetzung dieser Dokumente in eine Amtssprache besorgt zu sein. Praxisgemäss nimmt das Bundesverwaltungsgericht in Flughafenverfahren wie dem vorliegenden jedoch auch fremdsprachig verfasste Eingaben entgegen und lässt sie von Amtes wegen in eine der Amtssprachen übersetzen. Bei Englisch verfassten Eingaben wird auf eine solche Übersetzung verzichtet, weil die Sprache den Gerichtspersonen geläufig ist. Der verfahrensrechtliche Antrag auf amtliche Übersetzung der Begründung der vorliegenden Beschwerdeschrift ist daher abzuweisen.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Vorinstanz begründet ihre Verfügung im Asylpunkt im Wesentlichen damit, der Beschwerdeführer mache keine staatlichen Verfolgungsmassnahmen geltend. Seine Festhaltung im Jahr 2011 aufgrund eines Verkehrsdeliktes sei im Rahmen der Strafverfolgung erfolgt und habe legitimen Zwecken entsprochen. Das von ihm angestrengte Verfahren wegen Gedankenlesens durch andere Personen sei noch hängig. Dass er sich als amerikanischer Bürger in diesem Zusammenhang an die gerichtlichen Institutionen seines Bezirkes habe wenden können und ein Verfahren eingeleitet wurde, bestätige, dass er in einem funktionierenden Rechtsstaat lebe. Seine Vorbringen hielten damit den Anforderungen an die Flüchtlingseigenschaft nicht stand.</w:t>
      </w:r>
    </w:p>
    <w:p>
      <w:r>
        <w:rPr>
          <w:b/>
        </w:rPr>
        <w:t>E. 3.3</w:t>
      </w:r>
    </w:p>
    <w:p>
      <w:r>
        <w:t>Die wirren Einwendungen in der Beschwerdeschrift vermögen die zutreffenden Ausführungen der Vorinstanz nicht in Frage zu stellen. Die Behauptung des Beschwerdeführers, die Regierungen Chinas und der USA wollten ihn töten, ist durch nichts belegt. Vielmehr zeugt sie von den allgemein realitätsfremden Vorstellungen, wie sie auch in der Beschwerde geäussert werden: So macht der Beschwerdeführer auf Beschwerdeebene weiterhin geltend, ihm seien Nano-Sonden implantiert worden, die es anderen Personen erlaubten, seine Gedanken zu lesen, und äussert gegenüber der Vorinstanz den Vorwurf, sie habe zur Untersuchung dieser Vorbringen eine Ärztin aufgeboten, die keinerlei Fachkenntnisse besitze. Aufgrund des offensichtlich mangelnden Bezugs dieser Vorwürfe zur Realität, was vermutlich auf eine Psychose zurückzuführen ist (vgl. S. 4 der eingereichten Beweismittel, Arztbericht des [...] Hospital), enthält sich das Gericht in diesem Zusammenhang weiterer Ausführungen. Aus der Beschwerde wird abgesehen davon nicht deutlich, welche Asylrelevanz die vom Beschwerdeführer angestrengte und in erster Instanz abgewiesene Klage gegen verschiedene Privatpersonen und Institutionen haben sollte. Zur Vermeidung von Wiederholungen kann vollumfänglich auf die angefochtene Verfügung verwiesen werden. Auf eine detaillierte Auseinandersetzung mit den unzähligen auf Beschwerdeebene eingereichten Beweismitteln kann aufgrund der offensichtlich haltlosen Vorbringen des Beschwerdeführers verzichtet werden. Zusammengefasst kommt das Bundesverwaltungsgericht zum Schluss, dass die Vorinstanz zu Recht die Flüchtlingseigenschaft des Beschwerdeführers verneint und sein Asylgesuch abgewiesen hat.</w:t>
      </w:r>
    </w:p>
    <w:p>
      <w:r>
        <w:rPr>
          <w:b/>
        </w:rPr>
        <w:t>E. 4</w:t>
      </w:r>
    </w:p>
    <w:p>
      <w:r>
        <w:t>Lehnt das Staatssekretariat das Asylgesuch ab oder tritt es darauf nicht ein, so verfügt es in der Regel die Wegweisung und ordnet den Vollzug an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5</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Der Vollzug ist nicht zulässig, wenn völkerrechtliche Verpflichtungen der Schweiz einer Weiterreise der Ausländerin oder des Ausländers in den Heimat-, Herkunfts- oder einen Drittstaat entgegenstehen (Art. 83 Abs. 3 AuG).</w:t>
      </w:r>
    </w:p>
    <w:p>
      <w:r>
        <w:rPr>
          <w:b/>
        </w:rPr>
        <w:t>E. 5.1.1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5.1.2</w:t>
      </w:r>
    </w:p>
    <w:p>
      <w:r>
        <w:t>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vorliegend keine Anwendung finden.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vorliegend nicht der Fall. Es besteht kein konkreter Anlass zur Annahme, dem Beschwerdeführer, dem es nicht gelungen ist, eine asylrechtlich beachtliche Verfolgung darzulegen, würde bei einer Rückkehr in sein Heimatland eine menschenrechtswidrige Behandlung drohen. Auch die allgemeine Menschenrechtssituation in den USA lässt den Wegweisungsvollzug zum heutigen Zeitpunkt nicht als unzulässig erscheinen. An dieser Einschätzung vermögen die Vorbringen in der Rechtsmitteleingabe nichts zu ändern.</w:t>
      </w:r>
    </w:p>
    <w:p>
      <w:r>
        <w:rPr>
          <w:b/>
        </w:rPr>
        <w:t>E. 5.2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Vorliegend lassen weder die allgemeine Lage in den USA noch individuelle Gründe auf eine konkrete Gefährdung des Beschwerdeführers im Falle einer Rückkehr schliessen. Es liegen keine konkreten Anhaltspunkte dafür vor, dass der Beschwerdeführer aus individuellen Gründen wirtschaftlicher, sozialer oder gesundheitlicher Natur bei einer Rückkehr in die USA in eine existenzbedrohende Situation geraten würde. Er war in den USA während langer Zeit arbeitstätig und es ist damit zu rechnen, dass er bei einer Rückkehr in die USA wieder eine Arbeitstätigkeit aufnehmen kann. Zudem verfügt er dort über ein ihn unterstützendes Beziehungsnetz. Schliesslich war er in der Lage, für die Flugreise in die Schweiz aufzukommen, und führte Barmittel mit sich. Es ist daher nicht davon auszugehen, er würde bei einer Rückkehr in eine seine Existenz vernichtende Situation geraten, die als konkrete Gefährdung im Sinne der zu beachtenden Bestimmungen zu werten wäre (Art. 83 Abs. 4 AuG).</w:t>
      </w:r>
    </w:p>
    <w:p>
      <w:r>
        <w:rPr>
          <w:b/>
        </w:rPr>
        <w:t>E. 5.3</w:t>
      </w:r>
    </w:p>
    <w:p>
      <w:r>
        <w:t>Schliesslich obliegt es dem Beschwerdeführer, der über einen gültigen Reisepass verfügt, sich bei der zuständigen Vertretung des Heimatstaates allenfalls weitere, für eine Rückkehr notwendige Reisedokumente zu beschaffen (Art. 8 Abs. 4 AsylG; vgl. dazu auch BVGE 2008/34 E. 12). Der Vollzug der Wegweisung ist deshalb auch als möglich zu bezeichnen (Art. 83 Abs. 2 AuG).</w:t>
      </w:r>
    </w:p>
    <w:p>
      <w:r>
        <w:rPr>
          <w:b/>
        </w:rPr>
        <w:t>E. 5.4</w:t>
      </w:r>
    </w:p>
    <w:p>
      <w:r>
        <w:t>Der durch die Vorinstanz verfügte Wegweisungsvollzug ist damit zu bestätigen. Eine Anordnung der vorläufigen Aufnahme fällt ausser Betracht (Art. 83 Abs. 1-4 AuG).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Da die Beschwerdebegehren als aussichtslos zu bezeichnen waren, sind die Voraussetzungen zur Gewährung der unentgeltlichen Prozessführung gemäss Art. 65 Abs. 1 VwVG nicht erfüllt, weshalb das entsprechende Gesuch abzuweisen ist. Mit vorliegendem Urteil ist das Beschwerdeverfahren abgeschlossen, weshalb sich der Antrag auf Verzicht auf die Erhebung eines Kostenvorschusses als gegenstandslos erweist.</w:t>
      </w:r>
    </w:p>
    <w:p>
      <w:r>
        <w:rPr>
          <w:b/>
        </w:rPr>
        <w:t>E. 7.2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