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E-6328/2009 vom 15. Oktober 2009</w:t>
      </w:r>
    </w:p>
    <w:p>
      <w:r>
        <w:t>Bundesverwaltungsgericht, 2009-10-15, DE</w:t>
      </w:r>
    </w:p>
    <w:p>
      <w:r>
        <w:rPr>
          <w:b/>
        </w:rPr>
        <w:t xml:space="preserve">Quelle: </w:t>
      </w:r>
      <w:r>
        <w:t>https://mcp.opencaselaw.ch/entscheid/bvger_E-6328_2009</w:t>
      </w:r>
    </w:p>
    <w:p>
      <w:r>
        <w:t>FR: TAF E-6328/2009 du 15 octobre 2009</w:t>
      </w:r>
    </w:p>
    <w:p>
      <w:r>
        <w:t>IT: TAF E-6328/2009 del 15 ottobre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die Verfügung des BFM vom 8. September 2009 wird aufgehoben.</w:t>
      </w:r>
    </w:p>
    <w:p>
      <w:r>
        <w:rPr>
          <w:b/>
        </w:rPr>
        <w:t>E. 2</w:t>
      </w:r>
    </w:p>
    <w:p>
      <w:r>
        <w:t>Die Sache wird im Sinne der Erwägungen zur Feststellung des rechtsherblichen Sachverhalts und zur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der Beschwerdeführerin für das Verfahren vor dem Bundesverwaltungsgericht eine Parteientschädigung von Fr. 400.? zu entrichten.</w:t>
      </w:r>
    </w:p>
    <w:p>
      <w:r>
        <w:rPr>
          <w:b/>
        </w:rPr>
        <w:t>E. 5</w:t>
      </w:r>
    </w:p>
    <w:p>
      <w:r>
        <w:t>Dieses Urteil geht an den Rechtsvertreter der Beschwerdeführerin,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