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E-6324/2014 vom 25. Juni 2015</w:t>
      </w:r>
    </w:p>
    <w:p>
      <w:r>
        <w:t>Bundesverwaltungsgericht, 2015-06-25, DE</w:t>
      </w:r>
    </w:p>
    <w:p>
      <w:r>
        <w:rPr>
          <w:b/>
        </w:rPr>
        <w:t xml:space="preserve">Quelle: </w:t>
      </w:r>
      <w:r>
        <w:t>https://mcp.opencaselaw.ch/entscheid/bvger_E-6324_2014</w:t>
      </w:r>
    </w:p>
    <w:p>
      <w:r>
        <w:t>FR: TAF E-6324/2014 du 25 juin 2015</w:t>
      </w:r>
    </w:p>
    <w:p>
      <w:r>
        <w:t>IT: TAF E-6324/2014 del 25 giugno 2015</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und Art. 52 Abs. 1 VwVG). Auf die Beschwerde ist einzutreten.</w:t>
      </w:r>
    </w:p>
    <w:p>
      <w:r>
        <w:rPr>
          <w:b/>
        </w:rPr>
        <w:t>E. 2</w:t>
      </w:r>
    </w:p>
    <w:p>
      <w:r>
        <w:t>Im Asylbereich richten sich die Kognition des Bundesverwaltungsgerichts und die zulässigen Rügen nach Art. 106 Abs. 1 AsylG.</w:t>
      </w:r>
    </w:p>
    <w:p>
      <w:r>
        <w:rPr>
          <w:b/>
        </w:rPr>
        <w:t>E. 3.1</w:t>
      </w:r>
    </w:p>
    <w:p>
      <w:r>
        <w:t>Über offensichtlich begründete Beschwerden wird in einzelrichterlicher Zuständigkeit mit Zustimmung eines zweiten Richters entschieden (Art. 111 Bst. e AsylG). Vorliegend handelt es sich, wie nachfolgend aufgezeigt wird, um eine solche, weshalb der Beschwerdeentscheid nur summarisch zu begründen ist (Art. 111a Abs. 2 AsylG).</w:t>
      </w:r>
    </w:p>
    <w:p>
      <w:r>
        <w:rPr>
          <w:b/>
        </w:rPr>
        <w:t>E. 3.2</w:t>
      </w:r>
    </w:p>
    <w:p>
      <w:r>
        <w:t>Die Vernehmlassung des SEM vom 18. November 2014 wurde den Beschwerdeführenden bisher nicht zur Kenntnis gebracht. Auf eine vorgängige Anhörung in diesem Zusammenhang kann gestützt auf Art. 30 Abs. 2 Bst. c VwVG angesichts des vorliegenden Verfahrensausgangs verzichtet werden. Die Vernehmlassung wird den Beschwerdeführenden zusammen mit dem Urteil zur Kenntnisnahme zugestellt.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(Art. 22 Abs. 7 Dublin-III-VO), auf das Asylgesuch nicht ein.</w:t>
      </w:r>
    </w:p>
    <w:p>
      <w:r>
        <w:rPr>
          <w:b/>
        </w:rPr>
        <w:t>E. 4.2</w:t>
      </w:r>
    </w:p>
    <w:p>
      <w:r>
        <w:t>Gemäss Art. 3 Abs. 1 Dublin-III-VO wird jeder Asylantrag von einem einzigen Mitgliedstaat geprüft, der nach den Kriterien des Kapitels III (Art. 8 - 15 Dublin-III-VO) als zuständiger Staat bestimmt wird, wobei die einzelnen Bestimmungskriterien in der Reihenfolge ihrer Auflistung im Kapitel III Anwendung finden (Prinzip der Hierarchie der Zuständigkeitskriterien; vgl. Art. 7 Abs. 1 Dublin-III-VO). Kann kein Mitgliedstaat gemäss diesen Kriterien bestimmt werden, ist derjenige Staat zuständig, in welchem das erste Asylgesuch gestellt wurde (Art. 3 Abs. 2 Satz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Gemäss ihren Angaben gelangten die Beschwerdeführenden vor ihrer Einreise in die Schweiz von einem Drittstaat herkommend auf dem Seeweg illegal nach Italien, wobei sie in Sizilien einem Camp zugewiesen worden seien. Nachdem die italienischen Behörden das auf Art. 13 Abs. 1 Dublin-III-VO gestützte Übernahmeersuchen des SEM vom 25. Juli 2014 innert der in Art. 22 Abs. 1 Dublin-III-VO vorgesehenen Frist unbeantwortet liessen, hat das SEM unter dem Aspekt der Rangfolge der Kriterien Italien zu Recht als zuständig für die Durchführung des Asylverfahrens der Beschwerdeführenden erachtet (vgl. Art. 22 Abs. 7 Dublin-III-VO). Die Beschwerdeführerenden bestreiten die grundsätzliche Zuständigkeit Italiens denn auch nicht.</w:t>
      </w:r>
    </w:p>
    <w:p>
      <w:r>
        <w:rPr>
          <w:b/>
        </w:rPr>
        <w:t>E. 5.2</w:t>
      </w:r>
    </w:p>
    <w:p>
      <w:r>
        <w:t>Im Lichte von Art. 3 Abs. 2 Dublin-III-VO ist zu prüfen, ob es wesentliche Gründe für die Annahme gibt, die Beschwerdeführerenden würden im Falle einer Rückführung nach Italien menschenunwürdige Zustände sowie kein faires Asylverfahren zu erwarten haben, das Asylverfahren und die Aufnahmebedingungen für Asylsuchende in Italien würden also systemische Schwachstellen aufweisen, die eine Gefahr einer unmenschlichen oder entwürdigenden Behandlung im Sinne des Artikels 4 der EU-Grundrechtecharta mit sich bringen würden.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auf Art. 29a Abs. 3 AsylV 1 -, welche einer Überstellung entgegensteht, berufen; falls die Rüge begründet ist, muss die Souveränitätsklausel angewendet werden und die Schweiz muss sich zur Prüfung des Asylgesuchs zuständig erklären (vgl. BVGE 2010/45 E. 5).</w:t>
      </w:r>
    </w:p>
    <w:p>
      <w:r>
        <w:rPr>
          <w:b/>
        </w:rPr>
        <w:t>E. 6.1</w:t>
      </w:r>
    </w:p>
    <w:p>
      <w:r>
        <w:t>Bei den Beschwerdeführenden handelt es sich um ein somalisches religiös getrautes Paar mit drei Kleinkindern, wobei der älteste - bald (...) - Sohn C._______ gemäss den Akten (A9/14 und A11/14 jeweils F8.02, angefochtene Verfügung) an (...) leide, jedenfalls in gesundheitlicher Hinsicht angeschlagen ist und sich in jugendpsychiatrischer Behandlung befindet. Das jüngste Kind ist kürzlich (...) alt geworden. Die Vorinstanz führte in der Vernehmlassung vom 18. November 2014 aus, es würde in Anbetracht des Entscheides des EGMR Tarakhel gegen die Schweiz keine Überstellung von Eltern mit Kindern nach Italien vornehmen, ohne dass vorgängig die notwendigen expliziten Garantien vorlägen. Das Bundesverwaltungsgericht ist in seinem zur Publikation vorgesehenen Urteil E-6629/2014 vom 12. März 2015 ausführlich auf den Entscheid des EGMR Tarakhel gegen die Schweiz vom 4. November 2014 eingegangen (a.a.O. E. 4). Dabei hat es insbesondere festgestellt, dass angesichts des EGMR-Entscheids das Vorliegen der von den italienischen Behörden einzuholenden individuellen Garantien einer kindgerechten und die Einheit der Familie respektierenden Unterbringung - entgegen der Auffassung der Vorinstanz - nicht eine blosse Überstellungsmodalität darstelle, sondern eine Voraussetzung der völkerrechtlichen Zulässigkeit der Anordnung einer Überstellung nach Italien. Demzufolge müsse im Zeitpunkt der Verfügung der Vorinstanz eine konkretisierte individuelle Zusicherung vorliegen, mit welcher namentlich garantiert werde, dass eine dem Alter des Kindes beziehungsweise der Kinder entsprechende Unterkunft bei der Ankunft der Familie in Italien zur Verfügung stehe und dass diese bei der Unterbringung nicht getrennt werde.</w:t>
      </w:r>
    </w:p>
    <w:p>
      <w:r>
        <w:rPr>
          <w:b/>
        </w:rPr>
        <w:t>E. 6.2</w:t>
      </w:r>
    </w:p>
    <w:p>
      <w:r>
        <w:t>Vorliegend hat sich die Vorinstanz in ihrer vor Erlass des erwähnten Urteils verfassten Vernehmlassung mit der blossen Zusicherung begnügt, sie werde keine Überstellungen von Familien mit Kindern nach Italien vornehmen, ohne dass vorgängig Garantien eingeholt würden. Wie sie das Wort "vorgängig" versteht beziehungsweise verstand, erhellt sich aus dem folgenden Satz, wo sie ausführte, dass "zum Zeitpunkt der Überstellung entsprechende Garantien vorliegen werden". Eine die Beschwerdeführenden betreffende individuelle Garantie befindet sich nicht in den vorinstanzlichen Akten, offenbar entsprechend der damaligen, auch in der Vernehmlassung ausgedrückten Position der Vorinstanz, es handle sich bei der einzuholenden Garantie um eine Überstellungsmodalität. Dies ist jedoch gemäss dem zitierten Urteil (vgl. dort E.4.3) nicht der Fall. Das Einholen solcher Garantien hätte sich im vorliegenden Verfahren umso mehr aufgedrängt, als beim Kleinkind C._______ aktenkundig gesundheitliche Beeinträchtigungen vorliegen, selbst wenn die Vorinstanz auf Vernehmlassungsstufe zu bedenken gibt, dass keine auf (...) lautende Diagnose vorliege.</w:t>
      </w:r>
    </w:p>
    <w:p>
      <w:r>
        <w:rPr>
          <w:b/>
        </w:rPr>
        <w:t>E. 6.3</w:t>
      </w:r>
    </w:p>
    <w:p>
      <w:r>
        <w:t>Nach dem Gesagten ist der entscheidrelevante Sachverhalt im Hinblick auf die Frage, ob eine Überstellung nach Italien völkerrechtskonform im Sinne von Art. 3 EMRK ist, nicht rechtsgenügend erstellt. Es erweist sich somit als angezeigt, die Sache zwecks Vornahme der erforderlichen Abklärungen an die Vorinstanz zurückzuweisen.</w:t>
      </w:r>
    </w:p>
    <w:p>
      <w:r>
        <w:rPr>
          <w:b/>
        </w:rPr>
        <w:t>E. 7</w:t>
      </w:r>
    </w:p>
    <w:p>
      <w:r>
        <w:t>Die Beschwerde ist demnach gutzuheissen, die angefochtene Verfügung vom 9. Oktober 2014 daher aufzuheben und das Verfahren zwecks Vornahme der erforderlichen Abklärungen an die Vorinstanz zurückzuweisen.</w:t>
      </w:r>
    </w:p>
    <w:p>
      <w:r>
        <w:rPr>
          <w:b/>
        </w:rPr>
        <w:t>E. 8.1</w:t>
      </w:r>
    </w:p>
    <w:p>
      <w:r>
        <w:t>Bei diesem Ausgang des Verfahrens sind keine Kosten zu erheben (Art. 63 Abs. 1 und 2 VwVG).</w:t>
      </w:r>
    </w:p>
    <w:p>
      <w:r>
        <w:rPr>
          <w:b/>
        </w:rPr>
        <w:t>E. 8.2</w:t>
      </w:r>
    </w:p>
    <w:p>
      <w:r>
        <w:t>Den nicht vertretenen Beschwerdeführenden sind keine Parteikosten im Sinne der massgeblichen Bestimmungen erwachsen, weshalb keine Entschädigung auszurichten ist (Art. 64 VwVG und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