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E-6321/2010 vom 1. Oktober 2010</w:t>
      </w:r>
    </w:p>
    <w:p>
      <w:r>
        <w:t>Bundesverwaltungsgericht, 2010-10-01, DE</w:t>
      </w:r>
    </w:p>
    <w:p>
      <w:r>
        <w:rPr>
          <w:b/>
        </w:rPr>
        <w:t xml:space="preserve">Quelle: </w:t>
      </w:r>
      <w:r>
        <w:t>https://mcp.opencaselaw.ch/entscheid/bvger_E-6321_2010</w:t>
      </w:r>
    </w:p>
    <w:p>
      <w:r>
        <w:t>FR: TAF E-6321/2010 du 1 octobre 2010</w:t>
      </w:r>
    </w:p>
    <w:p>
      <w:r>
        <w:t>IT: TAF E-6321/2010 del 1 ottobre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2.3</w:t>
      </w:r>
    </w:p>
    <w:p>
      <w:r>
        <w:t>Gestützt auf Art. 111a Abs. 1 AsylG wurde vorliegend auf die Durchführung des Schriftenwechsels verzichtet.</w:t>
      </w:r>
    </w:p>
    <w:p>
      <w:r>
        <w:rPr>
          <w:b/>
        </w:rPr>
        <w:t>E. 3</w:t>
      </w:r>
    </w:p>
    <w:p>
      <w:r>
        <w:t>Zur Begründung des Entscheides vom 24. August 2010 führte das BFM aus,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Asylverfahrens zuständig. Da der Termin für die Stellungnahme laut Art. 20 Abs. 1 Bst. c Dublin-II-VO am 6. August 2010 verfristet und bis dahin keine Stellungnahme aus Italien eingegangen sei, gehe das BFM davon aus, dass Italien dem Gesuch um Rückübernahme stillschweigend zugestimmt habe. Die Rückführung habe - vorbehältlich einer allfälligen Unterbrechung oder Verlängerung - bis spätestens am 6. Februar 2011 zu erfolgen. Die Vorinstanz führte weiter aus, dem Beschwerdeführer sei im Hinblick auf ein Dublin-Verfahren das rechtliche Gehör gewährt worden, wobei er ausgesagt habe, dass er nicht nach Italien zurückkönne, da er in Italien keine Unterkunft, keine Arbeit und keinen Aufenthaltsstatus habe. Diese Begründung stelle kein Hindernis für den Vollzug der Wegweisung des Beschwerdeführers nach Italien dar, da Italien ein Rechtsstaat sei und gemäss Dublinabkommen zur Rückübernahme verpflichtet sei. Italien wende die Mindestnormen der EU für die Aufnahme der Asylgesuchsteller an und stelle demzufolge Aufnahmestrukturen zur Verfügung. Da der Beschwerdeführer in einen Drittstaat reisen könne, in dem er Schutz vor Rückschiebung im Sinne von Art. 5 Abs. 1 AsylG finde, sei das Non-Refoulement-Gebot bezüglich des Heimat- oder Herkunftsstaates nicht zu prüfen. Im Übrigen bestünden auch keine Hinweise auf eine Verletzung von Art. 3 EMRK bei einer Rückkehr des Beschwerdeführers nach Italien. Weder die in Italien herrschende Situation noch andere Gründe sprächen gegen die Zumutbarkeit der Wegweisung in diesen Staat. Der Vollzug der Wegweisung nach Italien sei auch technisch möglich und praktisch durchführbar, da eine entsprechende stillschweigende Zustimmung Italiens vorliege.</w:t>
      </w:r>
    </w:p>
    <w:p>
      <w:r>
        <w:rPr>
          <w:b/>
        </w:rPr>
        <w:t>E. 4.1</w:t>
      </w:r>
    </w:p>
    <w:p>
      <w:r>
        <w:t>Das BFM stellte aufgrund der Akten und der bezüglich des Dublin-Verfahrens geltenden Verträge und Übereinkommen zu Recht fest, dass Italien für die Durchführung des Asylverfahrens des Beschwerdeführers zuständig ist. Der Beschwerdeführer hat dort bereits ein Asylgesuch gestellt, welches abgelehnt worden sei; die Anfrage des BFM zur Wiederaufnahme nach Art. 16 Abs. 1 Bst. e Dublin-II-VO vom 22. Juli 2010 wurde nicht beantwortet, weshalb gemäss Art. 20 Abs. 1 Bst. b und c Dublin- II-VO davon ausgegangen werden kann, dass Italien der Wiederaufnahme des Beschwerdeführers nach abgelehntem Asylverfahren stillschweigend durch Verfristung zugestimmt hat. Die Zuständigkeit Italiens wird vom Beschwerdeführer nicht grundsätzlich bestritten; er führte aber in seinen Beschwerdeeingaben an, dass ihm bei einer Rückweisung nach Italien die Auslieferung nach Libyen und folglich eine Verletzung des Non-Refoulement-Prinzips drohe. Die jüngsten Übereinkommen und Vorgehensweisen Italiens mit Libyen bezüglich der gemeinsamen Bekämpfung der illegalen Migration erforderten eine genaue Überprüfung der Zulässigkeit und Zumutbarkeit von Überstellungsmassnahmen nach Italien. Unter Bezugnahme auf Berichte von Amnesty International und UNHCR führte der Beschwerdeführer aus, dass es keine Gewähr dafür gebe, dass er, als ein in Lampedusa registrierter Bootsflüchtling, nicht nach Libyen zurückgeschickt würde, weshalb eine Überstellung nach Italien unzulässig sei. Zudem seien die Zustände in Italien, selbst für anerkannte Flüchtlinge hinsichtlich Unterbringung, Unterstützung und Verpflegung unzumutbar, weshalb eine Überstellung nach Italien auch für ihn unzumutbar sei, da er an einer akuten Infektion leide und auf medikamentöse Behandlung angewiesen sei. Zur Untermauerung seiner Vorbringen reichte er ein ärztliches Zeugnis ein, in welchem mit einem Satz ausgeführt wird, dass der Beschwerdeführer an einem akuten Infekt erkrankt sei und unter medikamentöser Behandlung stehe (vgl. ärztliches Zeugnis von Dr. med. E_______ vom 3. September 2010). Damit macht er Gründe geltend, welche einem Vollzug der Wegweisung nach Italien entgegenstehen sollen, und nicht solche, welche grundsätzlich Italiens Zuständigkeit in Frage stellen. Es bleibt demnach einzig zu prüfen, ob die vom Beschwerdeführer vorgebrachten Gründe, welche einem Vollzug der Wegweisung nach Italien entgegenstünden, zu bestätigen sind.</w:t>
      </w:r>
    </w:p>
    <w:p>
      <w:r>
        <w:rPr>
          <w:b/>
        </w:rPr>
        <w:t>E. 4.2.1</w:t>
      </w:r>
    </w:p>
    <w:p>
      <w:r>
        <w:t>Hinsichtlich der geltend gemachten Verletzung des Non-Refoulement-Gebots mit der Ausschaffung nach Libyen, da er in Lampedusa als Bootsflüchtling registriert worden sei, ist anzumerken, dass - auch wenn vorliegend nicht bestritten werden soll, dass die Massnahmen Italiens und Libyens zur gemeinsamen Bekämpfung illegaler Migration im Hinblick auf Refoulement-Fragen problematisch sein können - das geltend gemachte Übereinkommen zwischen Italien und Libyen Bootsflüchtlinge betrifft, welche in libyschen und internationalen Gewässern vor Italien und Libyen aufgegriffen werden; auf Personen, welche bereits auf das Festland in Italien gelangt sind, ist das Abkommen nicht anwendbar (vgl. zum Abkommen ausführlich Human Rights Watch: Pushed Back, Pushed Around; Italy's Forced Return of Boat Migrants and Asylum Seekers, Libya's Mistreatment of Migrants and Asylum Seekers; 21. September 2009). Gemäss Erkenntnis des Bundesverwaltungsgericht ist das italienische Asylverfahren den Bestimmungen der Verfahrensrichtlinie der EU entsprechend. Italien ist sowohl Signatarstaat der FK als auch der EMRK. Es liegen keinerlei Anhaltspunkte vor, wonach sich Italien nicht an die daraus resultierenden völkerrechtlichen Verpflichtungen hält. Das Bundesverwaltungsgericht geht somit davon aus, dass der Beschwerdeführer allfällige gegen eine Rückkehr ins Heimatland sprechende Gründe im Rahmen des italienischen Asylverfahrens geltend machen kann und muss. Auch nach bereits abgeschlossenem Asylverfahren ist in Italien die Geltendmachung eines Gesuchs um internationalen Schutz möglich.</w:t>
      </w:r>
    </w:p>
    <w:p>
      <w:r>
        <w:rPr>
          <w:b/>
        </w:rPr>
        <w:t>E. 4.2.2</w:t>
      </w:r>
    </w:p>
    <w:p>
      <w:r>
        <w:t>Ebenfalls nicht gegen den Vollzug der Überstellung nach Italien sprechen die vom Beschwerdeführer geltend gemachten gesundheitlichen Beeinträchtigungen: Die angeblichen gesundheitlichen Beschwerden des Beschwerdeführers wurden - trotz Aufforderung zur Einreichung eines ausführlichen Arztzeugnisses - nicht weiter spezifiziert. Dem Gericht liegt einzig das rudimentäre Arztzeugnis vom 3. September 2010 vor, welches in lediglich einem Satz ausführt, dass der Beschwerdeführer an einem akuten Infekt erkrankt sei und in medikamentöser Behandlung stehe. Es ist demnach davon auszugehen, dass die geltend gemachten gesundheitlichen Beschwerden nicht mehr vorhanden, oder zumindest untergeordneter Natur sind. Zudem ist es dem Dublin-System immanent, dass grundsätzlich davon ausgegangen werden kann, dass der betreffende Dublinstaat die nötigen medizinischen Versorgungsleistungen erbringen kann, hat doch jeder Staat die Aufnahmerichtlinie, welche medizinische Versorgung garantiert, in Landesrecht umgesetzt, so auch Italien. Eine Unzumutbarkeit der Wegweisung des Beschwerdeführers nach Italien kann demnach nicht angenommen werden.</w:t>
      </w:r>
    </w:p>
    <w:p>
      <w:r>
        <w:rPr>
          <w:b/>
        </w:rPr>
        <w:t>E. 4.3</w:t>
      </w:r>
    </w:p>
    <w:p>
      <w:r>
        <w:t>Nach dem Gesagten ergibt sich, dass das BFM zu Recht nicht auf das Asylgesuch des Beschwerdeführers eingetreten ist Die Ablehnung eines Asylgesuchs oder das Nichteintreten auf ein Asylgesuch hat in der Regel die Wegweisung aus der Schweiz zu Folge (Art. 44 Abs. 1 AsylG), wobei in Verfahren nach Art. 34 Abs. 2 Bst. d AsylG die Frage der Zulässigkeit, Zumutbarkeit und Möglichkeit des Wegweisungsvollzugs regelmässig bereits Voraussetzung (und nicht erst Regelfolge) des Nichteintretensentscheides ist. So sind allfällige Vollzugshindernisse im Rahmen der eventuellen Anwendung der sogenannten Souveränitätsklausel (Art. 3 Abs. 2 Dublin-II-VO) zu prüfen. Wie vorstehend dargelegt, bestehen vorliegend keine Gründe, welche zu einem Selbsteintritt führen müssten. Auch die Prüfung der Frage der Möglichkeit einer Wegweisung in einen Drittstaat, wie es der Beschwerdeführer in der Beschwerdeeingabe beantragte (vgl. Beschwerdeschrift vom 3. September 2010 S. 3), ist bereits Voraussetzung eines Nichteintretensentscheides und vorliegend gibt es keinerlei Hinweise, welche für eine Wegweisung des Beschwerdeführers in einen Drittstaat sprechen würden. Das BFM hat die Überstellung des Beschwerdeführers nach Italien in diesem Sinne zu Recht als zulässig, zumutbar und möglich erachtet.</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6.1</w:t>
      </w:r>
    </w:p>
    <w:p>
      <w:r>
        <w:t>Mit den obenstehenden Ausführung ist aufgezeigt, dass die Beschwerde aussichtslos ist, weshalb das Gesuch um Gewährung der unentgeltlichen Rechtspflege nach Art. 65 Abs. 1 VwVG abzuweisen ist.</w:t>
      </w:r>
    </w:p>
    <w:p>
      <w:r>
        <w:rPr>
          <w:b/>
        </w:rPr>
        <w:t>E. 6.2</w:t>
      </w:r>
    </w:p>
    <w:p>
      <w:r>
        <w:t>Bei diesem Ausgang des Verfahrens sind die Kosten in der Höhe von Fr. 600.-- dem Beschwerdeführer aufzuerlegen (Art. 63 Abs. 1 VwVG i.V.m. Art. 2 und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