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E-6320/2013 vom 26. Februar 2014</w:t>
      </w:r>
    </w:p>
    <w:p>
      <w:r>
        <w:t>Bundesverwaltungsgericht, 2014-02-26, FR</w:t>
      </w:r>
    </w:p>
    <w:p>
      <w:r>
        <w:rPr>
          <w:b/>
        </w:rPr>
        <w:t xml:space="preserve">Quelle: </w:t>
      </w:r>
      <w:r>
        <w:t>https://mcp.opencaselaw.ch/entscheid/bvger_E-6320_2013</w:t>
      </w:r>
    </w:p>
    <w:p>
      <w:r>
        <w:t>FR: TAF E-6320/2013 du 26 février 2014</w:t>
      </w:r>
    </w:p>
    <w:p>
      <w:r>
        <w:t>IT: TAF E-6320/2013 del 26 febbraio 2014</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de ses motifs.</w:t>
      </w:r>
    </w:p>
    <w:p>
      <w:r>
        <w:rPr>
          <w:b/>
        </w:rPr>
        <w:t>E. 3.2</w:t>
      </w:r>
    </w:p>
    <w:p>
      <w:r>
        <w:t>Le Tribunal ne remet certes pas en cause la vraisemblance des événements décrits par le recourant, compatibles avec le climat généralement homophobe que connaît la Mongolie. En effet, si l'homosexualité n'est pas interdite par la loi, la société mongole y est globalement hostile, et les homosexuels sont exposés à diverses discriminations, voire aux agressions ; ils ont souvent de la peine à obtenir la protection de la police (cf. US State Department, Country Report on Human Rights Practices for 2012 ; Commission de l'immigration et du statut de réfugié du Canada, 28 juin 2013 ; Mongolia : LGBT Activists Cheered by potential Gay Rights Gain, décembre 2010, in http://www.eurasianet.org/node/62573, consulté le 19 février 2014). Toutefois, la situation des homosexuels a connu une amélioration depuis quelques années ; des associations de soutien et de défense se sont créées, dont Tavilan (dès 1999), et le centre lesbien-gay-bisexuel-transexuel (LGBT), en 2009. Parallèlement, la police a commencé à prendre davantage en considération les agressions visant les homosexuels, même si la situation n'est pas encore satisfaisante à cet égard ; le gouvernement s'est par ailleurs engagé à prendre en considération les recommandations des Nations Unies quant à la mise en place d'une législation contre les discriminations visant cette communauté.</w:t>
      </w:r>
    </w:p>
    <w:p>
      <w:r>
        <w:rPr>
          <w:b/>
        </w:rPr>
        <w:t>E. 3.3</w:t>
      </w:r>
    </w:p>
    <w:p>
      <w:r>
        <w:t>Dans ce contexte, le Tribunal ne peut retenir que l'intéressé ait été la cible d'une persécution en raison de son orientation sexuelle, ou risque de l'être à son retour, persécution contre laquelle il aurait été ou serait sans moyens de défense. En effet, l'agression l'ayant visé aurait été le fait de tiers, si bien qu'elle ne serait pertinente que si le recourant n'avait pu en pratique bénéficier d'un accès concret à une protection effective assurée par l'autorité étatique (Jurisprudence et informations de la Commission suisse de recours en matière d'asile [JICRA] 2006 n° 18 consid. 10.1-10.3 p. 201-204). Or il n'est pas attesté qu'il se soit retrouvé dans une telle situation. Après le dépôt de sa plainte, il se serait cantonné dans une attitude purement passive, attendant que la police reprenne contact avec lui. Cependant, il lui incombait, devant le manque de réaction ou la mauvaise volonté du personnel du poste de police local, de saisir la direction de la police de la capitale ou, le cas échéant avec l'aide d'un conseil, l'autorité judiciaire. Cette dernière est indépendante en Mongolie, et assure de manière correcte la protection des libertés publiques (cf. arrêt du Tribunal D-1068/2012 du 30 avril 2012, consid. 6, et les réf. citées) ; ce constat a d'ailleurs permis le classement de la Mongolie parmi les Etats exempts de persécution ("safe country"), par arrêté du Conseil fédéral (art. 6a al. 2 let. a LAsi). Par ailleurs, il est loisible au recourant de se réinstaller hors du quartier d'Oulan-Bator où il résidait avant son départ, ou dans une autre région du pays (ainsi, à B._______, sa cité d'origine), pour se trouver à l'abri de nouvelles atteintes.</w:t>
      </w:r>
    </w:p>
    <w:p>
      <w:r>
        <w:rPr>
          <w:b/>
        </w:rPr>
        <w:t>E. 3.4</w:t>
      </w:r>
    </w:p>
    <w:p>
      <w:r>
        <w:t>Enfin, il faut souligner que le comportement du recourant ne correspond pas à celui d'une personne menacée de manière concrète, dont le souci est de se mettre à l'abri le plus rapidement possible. En effet, il a passé une année en Suisse avant de déposer sa demande, alors qu'aucune obstacle insurmontable ne l'en empêchait ; en atteste le fait qu'il a quitté le logement où il était hébergé aussitôt qu'il l'a décidé. Le Tribunal constate au passage que l'intéressé a déposé une carte d'identité délivrée le 21 août 2012, soit peu après le dépôt de sa demande ; il a cependant affirmé, lors de son audition approfondie du 12 juillet 2013 (cf. questions 4-15), n'avoir pu obtenir de nouveaux documents d'identité. Les motifs pour lesquels il a cependant accompli cette démarche en la dissimulant à l'autorité d'asile, et les moyens employés à cet effet (sans doute l'aide d'un tiers), restent inconnus. Dans tous les cas, l'intéressé ayant forcément dû se signaler à l'attention des autorités mongoles, ce comportement ne plaide pas en faveur du sérieux de ses motifs.</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l'intéressé, pour les raisons exposées plus haut, n'est pas menacé de manière concrète et immédiate sur toute l'étendue du territoire de la Mongolie, et dispose des moyens de trouver une protection contre de nouvelles atteintes. 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w:t>
      </w:r>
    </w:p>
    <w:p>
      <w:r>
        <w:rPr>
          <w:b/>
        </w:rPr>
        <w:t>E. 7.2</w:t>
      </w:r>
    </w:p>
    <w:p>
      <w:r>
        <w:t>Il est notoire que la Mongolie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l'autorité de céans relève qu'il est jeune, au bénéfice d'une bonne formation et d'une expérience professionnelle, et n'a pas allégué de problème de santé particulier.</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513 515).</w:t>
      </w:r>
    </w:p>
    <w:p>
      <w:r>
        <w:rPr>
          <w:b/>
        </w:rPr>
        <w:t>E. 9</w:t>
      </w:r>
    </w:p>
    <w:p>
      <w:r>
        <w:t>Il s'ensuit que le recours, en tant qu'il conteste la décision de renvoi et son exécution, doit être également rejeté.</w:t>
      </w:r>
    </w:p>
    <w:p>
      <w:r>
        <w:rPr>
          <w:b/>
        </w:rPr>
        <w:t>E. 10</w:t>
      </w:r>
    </w:p>
    <w:p>
      <w:r>
        <w:t>Le Tribunal fait droit à la requête du recourant et admet la requête d'assistance judiciaire partielle, compte tenu de son incapacité à assumer les frais de la procédure et de ce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