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E-6319/2008 vom 21. Juni 2011</w:t>
      </w:r>
    </w:p>
    <w:p>
      <w:r>
        <w:t>Bundesverwaltungsgericht, 2011-06-21, DE</w:t>
      </w:r>
    </w:p>
    <w:p>
      <w:r>
        <w:rPr>
          <w:b/>
        </w:rPr>
        <w:t xml:space="preserve">Quelle: </w:t>
      </w:r>
      <w:r>
        <w:t>https://mcp.opencaselaw.ch/entscheid/bvger_E-6319_2008</w:t>
      </w:r>
    </w:p>
    <w:p>
      <w:r>
        <w:t>FR: TAF E-6319/2008 du 21 juin 2011</w:t>
      </w:r>
    </w:p>
    <w:p>
      <w:r>
        <w:t>IT: TAF E-6319/2008 del 21 giugno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vom 4. September 2008 betreffend die Verneinung der Flüchtlingseigenschaft, die Ablehnung des Asylgesuchs und die Wegweisung als solche blieben vorliegend unangefochten und sind damit in Rechtskraft erwachsen. Die Beschwerde richtet sich einzig gegen den Vollzug der Wegweisung. Gegenstand des vorliegenden Beschwerdeverfahrens bildet somit ausschliesslich die Frage, ob das Bundesamt den Vollzug der Wegweisung zu Recht als zulässig, zumutbar und möglich erklärt hat.</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Entscheidungen und Mitteilungen der [vormaligen] Schweizerischen Asylrekurskommission [EMARK] 2006 Nr. 6).</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4.1.1</w:t>
      </w:r>
    </w:p>
    <w:p>
      <w:r>
        <w:t>Das BFM führte in seiner Verfügung vom 4. September 2008 zur Zumutbarkeit des Wegweisungsvollzuges aus, zwar habe sich die allgemeine Sicherheitslage in Afghanistan in der letzten Zeit verschlechtert und die Situation bleibe angespannt, doch könne nicht von einer konkreten Gefährdung der gesamten Bevölkerung oder von einer Situation allgemeiner Gewalt im Sinne von Art. 83 Abs. 4 AuG ausgegangen werden. Die Situation in den nördlichen Provinzen Parwan, Baghlan, Takhar, Badakshan, Kunduz, Balkh, Sari Pul sowie in Kabul, in der westlichen Provinz Herat und in Bamiyan, der zentralen Provinz des Hazarajat, sei nach der Einschätzung des Bundesamtes weiterhin als grundsätzlich sicher einzustufen. Zudem würden auch keine individuellen Gründe gegen die Zumutbarkeit eines Wegweisungsvollzuges sprechen. Aufgrund der Angaben des Beschwerdeführers sei davon auszugehen, dass er (...) über ein familiäres Beziehungsnetz verfüge und seine Familie dort Land besitze. Auch wolle er (...) Jahre in Kabul selbst gelebt haben. Diese Voraussetzungen und die in der Schweiz gewonnenen beruflichen Erfahrungen als (...) dürften es ihm ermöglichen, sich bei einer Rückkehr in Afghanistan wieder integrieren zu können.</w:t>
      </w:r>
    </w:p>
    <w:p>
      <w:r>
        <w:rPr>
          <w:b/>
        </w:rPr>
        <w:t>E. 4.1.2</w:t>
      </w:r>
    </w:p>
    <w:p>
      <w:r>
        <w:t>In der Beschwerde wird vom Beschwerdeführer in Bezug auf das Kriterium der Zumutbarkeit des Wegweisungsvollzuges Folgendes ausgeführt: Zwar arbeite er seit (...) als (...) in einem (...) Restaurant in G._______, doch beinhalte dies nicht die beruflichen Erfahrungen, von welchen das BFM spreche. Auch habe er weiterhin keine Schulbildung erhalten. Die Wiedereingliederung in das soziale Gefüge, aus dem er geflüchtet sei, sei angesichts des glaubwürdigen Streits um Land mit den Verwandten sehr fraglich.</w:t>
      </w:r>
    </w:p>
    <w:p>
      <w:r>
        <w:rPr>
          <w:b/>
        </w:rPr>
        <w:t>E. 4.1.3</w:t>
      </w:r>
    </w:p>
    <w:p>
      <w:r>
        <w:t>Für die allgemeine Lage in Afghanistan wird zunächst auf das zu publizierende Länderurteil des Bundesverwaltungsgerichts BVGE E-7625/2008 vom 16. Juni 2011 verwiesen. Darin kommt das Gericht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w:t>
      </w:r>
    </w:p>
    <w:p>
      <w:r>
        <w:rPr>
          <w:b/>
        </w:rPr>
        <w:t>E. 4.1.4</w:t>
      </w:r>
    </w:p>
    <w:p>
      <w:r>
        <w:t>Der Beschwerdeführer stammt nicht aus einer Grossstadt, sondern aus H._______, welches im Bezirk I._______ der Provinz J._______ liegt. Ein Wegweisungsvollzug dorthin ist gemäss den vorstehenden Ausführungen unzumutbar. In einem nächsten Schritt zu prüfen bleibt daher, ob es dem Beschwerdeführer zumutbar wäre, sich im Sinne einer Aufenthaltsalternative in einer Grossstadt niederzulassen. Anknüpfungspunkte bestehen in dieser Hinsicht höchstens in Bezug auf die Hauptstadt, da der Beschwerdeführer nach eigenen Angaben (...) Jahre dort gelebt hat. Allerdings war er zu dieser Zeit ungefähr (...) bis (...) Jahre alt und ohne Arbeit, weshalb nicht davon auszugehen ist, er habe sich während dieser kurzen Zeit einleben und etwas aufbauen können. Gemäss seinen Angaben zu den Verwandten im Heimatstaat verfügt er zwar noch über seine Eltern und eine Schwester, doch lebten diese nach seinem letzten Wissensstand immer noch in H._______. Es bestehen somit keine Anhaltspunkte für ein tragfähiges Beziehungsnetz in der Stadt Kabul, was jedoch zwingend vorauszusetzen wäre, um einen Wegweisungsvollzug dorthin als zumutbar einzustufen. Zusammenfassend kann also festgehalten werden, dass der Vollzug der Wegweisung aus der Schweiz nach Afghanistan für den Beschwerdeführer zur Zeit nicht zumutbar ist.</w:t>
      </w:r>
    </w:p>
    <w:p>
      <w:r>
        <w:rPr>
          <w:b/>
        </w:rPr>
        <w:t>E. 4.2</w:t>
      </w:r>
    </w:p>
    <w:p>
      <w:r>
        <w:t>Da sich den Akten keinerlei Hinweise entnehmen lassen, wonach der Beschwerdeführer einen der Tatbestände von Art. 83 Abs. 7 AuG (Ausschluss von der vorläufigen Aufnahme) erfüllen würde, ist die Beschwerde, welche sich auf den Vollzug der Wegweisung beschränkte, vollumfänglich gutzuheissen und das BFM anzuweisen, den Beschwerdeführer infolge Unzumutbarkeit des Wegweisungsvollzuges vorläufig aufzunehmen.</w:t>
      </w:r>
    </w:p>
    <w:p>
      <w:r>
        <w:rPr>
          <w:b/>
        </w:rPr>
        <w:t>E. 5</w:t>
      </w:r>
    </w:p>
    <w:p>
      <w:r>
        <w:t>Bei diesem Ausgang des Verfahrens sind keine Kosten aufzuerlegen (Art. 63 Abs. 1 und 2 VwVG). Das Gesuch um Gewährung der unentgeltlichen Rechtspflege wird damit gegenstandslos.</w:t>
      </w:r>
    </w:p>
    <w:p>
      <w:r>
        <w:rPr>
          <w:b/>
        </w:rPr>
        <w:t>E. 6</w:t>
      </w:r>
    </w:p>
    <w:p>
      <w:r>
        <w:t>Dem vertretenen Beschwerdeführer ist angesichts seines Obsiegens eine Parteientschädigung für die ihm notwendigerweise erwachsenen Kosten zuzusprechen (Art. 64 Abs. 1 VwVG sowie Art. 16 Abs. 1 Bst. a VGG i.V.m. Art. 7 Abs. 1 des Reglements vom 21. Februar 2008 über die Kosten und Entschädigungen vor dem Bundesverwaltungsgericht [VGKE, SR 173.320.2]). Der am 15. Juni 2011 eingereichten Honorarrechnung sind ein Arbeitsaufwand von 5 Stunden zu einem Stundenansatz von Fr. 200.- und Barauslagen in der Höhe von Fr. 142.50 (inklusive Dolmetscherkosten) zu entnehmen, was im vorliegenden Verfahren als angemessen erscheint (Art. 10 VGKE). Dem Beschwerdeführer ist somit eine insgesamt auf Fr. 1142.50 festzusetzende, von der Vorinstanz zu entrichtende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