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E-6314/2019 vom 8. Januar 2020</w:t>
      </w:r>
    </w:p>
    <w:p>
      <w:r>
        <w:t>Bundesverwaltungsgericht, 2020-01-08, DE</w:t>
      </w:r>
    </w:p>
    <w:p>
      <w:r>
        <w:rPr>
          <w:b/>
        </w:rPr>
        <w:t xml:space="preserve">Quelle: </w:t>
      </w:r>
      <w:r>
        <w:t>https://mcp.opencaselaw.ch/entscheid/bvger_E-6314_2019</w:t>
      </w:r>
    </w:p>
    <w:p>
      <w:r>
        <w:t>FR: TAF E-6314/2019 du 8 janvier 2020</w:t>
      </w:r>
    </w:p>
    <w:p>
      <w:r>
        <w:t>IT: TAF E-6314/2019 del 8 gennaio 2020</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 in der angefochtenen Verfügung zum Schluss, die Vorbringen des Beschwerdeführers hielten den Anforderungen an das Glaubhaftmachen gemäss Art. 7 AsylG nicht stand. Der Beschwerdeführer habe unterschiedliche Angaben dazu gemacht, auf wen es die Taliban abgesehen hätten. Er habe zunächst angegeben, die Forderung der Taliban habe sich auf den zwischenzeitlich verstorbenen Dorfvorsteher bezogen. Auf Nachfrage, weshalb sie Informationen über eine verstorbene Person gewollt hätten, habe er plötzlich dessen Sohn angegeben. Auf Vorhalt, er habe betreffend den Namen des Sohnes des Dorfvorstehers anlässlich der Befragungen verschiedene Angaben gemacht, habe er einzig erklärt, er würde auf Paschtou G._______ sagen, was bei der BzP nicht korrekt aufgeschrieben worden sei. Weiter habe er sich unvereinbar darüber geäussert, was er nach der Freilassung durch die Taliban gemacht habe. Bei der BzP habe er angegeben, sechs Monate lang Geld für die Ausreise gesammelt und sich entweder zu Hause aufgehalten oder versteckt zu haben. Demgegenüber habe er bei der Anhörung erklärt, er habe während dieser Zeit Schutz seitens des Dorfvorstehers erhalten. Der diesbezügliche Hinweis des Beschwerdeführers, dazu sei er nicht befragt worden, überzeuge nicht, zumal ihm zur Zeitspanne nach der Freilassung bei der BzP mehrere Fragen gestellt worden seien. Darüber hinaus habe er zur Zeitspanne zwischen der Freilassung und der Ausreise verschiedene Angaben gemacht, welche er auf Vorhalt nicht habe nachvollziehbar begründen können. Weiter seien die Ausführungen unsubstantiiert ausgefallen. Die Schilderungen zum ersten Kontakt mit den Taliban seien gehaltlos und stereotyp gewesen. Die Ausführungen zur Festnahme würden einen persönlichen Bezug vermissen lassen. Auch das Vorkommnis mit der unbekannten Person auf dem (...) habe er nur oberflächlich geschildert. Schliesslich vermöchten auch die eingereichten Dokumente am Schluss auf Unglaubhaftigkeit nichts zu ändern. Das Schreiben des Dorfvorstehers sei ein Gefälligkeitsschreiben ohne Beweiswert. Die Kopien der Tazkiras und der Fotos seien nicht geeignet, eine asylrelevante Verfolgung zu belegen, zumal Kopien leicht fälschbar seien. Die Originale dieser Dokumente könnten zudem höchstens Aufschluss über die Identität beziehungsweise zum Umfeld der Person geben, nicht aber zur geltend gemachten Verfolgung.</w:t>
      </w:r>
    </w:p>
    <w:p>
      <w:r>
        <w:rPr>
          <w:b/>
        </w:rPr>
        <w:t>E. 6.2</w:t>
      </w:r>
    </w:p>
    <w:p>
      <w:r>
        <w:t>Der Beschwerdeführer macht in der Rechtsmitteleingabe geltend, die Vorinstanz habe die Vorbringen betreffend die Taliban und die Behördenbesuche zu Unrecht als unglaubhaft beurteilt, mithin liege eine Verletzung von Art. 7 AsylG vor. Die Vorinstanz hat in der angefochtenen Verfügung nachvollziehbar dargelegt, weshalb die Vorbringen des Beschwerdeführers widersprüchlich und unsubstantiiert, mithin unglaubhaft ausgefallen sind. Es trifft zwar zu, dass bei der BzP die Asylgründe nur summarisch befragt werden. Indes unterscheiden sich die Ausführungen des Beschwerdeführers zum Zeitraum zwischen der Freilassung durch die Taliban und der Ausreise aus Afghanistan wesentlich. Bereits anlässlich der BzP wurde der Beschwerdeführer danach gefragt, was er konkret gemacht habe, um von den Taliban nicht erwischt zu werden und was der Dorfvorsteher für ihn bezüglich der Probleme habe tun können. Es wäre zu erwarten gewesen, dass er bei einer dieser beiden Fragen vom später in der Anhörung erwähnten Schutz durch die (...) des Dorfvorstehers berichtet hätte, zumal er angegeben hat, dieser habe zehn (...) gehabt (vgl. SEM-Akte A4/12 Ziff. 7.02). Weiter vermag auch der Hinweis des Beschwerdeführers, er kenne sich mit Zeitangaben nicht aus, die von der Vorinstanz aufgezeigte zeitliche Unstimmigkeit zwischen der Freilassung und der Ausreise nicht zu klären. Dies umso weniger in Anbetracht der verschiedenen Zeit- und Datumsangaben des Beschwerdeführers im Verlaufe des Verfahrens (vgl. SEM-Akte A45/18 F21, F51 f., F81, F100 und A4/12 Ziff. 5.01 f., 7.02). Auch mit dem Hinweis, bezüglich des Zeitpunkts der Entführung liege bei der Antwort 82 ein Versehen vor, gelingt es dem Beschwerdeführer nicht, die zeitlichen Ungereimtheiten betreffend die Entführung und die Ausreise auszuräumen. Anlässlich der BzP am 29. August 2016 gab er an, vor sechs Monaten hätten die Taliban ihn entführt (vgl. SEM-Akte A4/12 Ziff. 7.01), was ungefähr Ende Februar 2016 gewesen wäre. Weiter nannte er als Ausreisedatum den 1. Juni 2016 (vgl. SEM-Akte a.a.O. Ziff. 5.01), mithin rund drei Monate nach der vorgebrachten Mitnahme durch die Taliban. Anlässlich der Anhörung führte er demgegenüber aus, die Entführung durch die Taliban sei am 10. April 2016 gewesen (vgl. SEM-Akte A45/18 F80 ff.). Dann gab er zunächst an, nachdem der (...) ihn einen Monat nach der Freilassung angesprochen habe, sei er am selben Nachmittag ausgereist, um dann bei der nächsten Frage zu korrigieren, 20 bis 25 Tage später habe er Afghanistan verlassen (vgl. SEM-Akte a.a.O. F83 f.). Entgegen der vom Beschwerdeführer vertretenen Ansicht hat sich die Vorinstanz zur Begründung der Unglaubhaftigkeit nicht nur auf zeitliche Widersprüche abgestützt. Vielmehr stellte sie auch fest, die Ausführungen des Beschwerdeführers seien unsubstantiiert sowie widersprüchlich ausgefallen (vgl. A47/6 siehe S. 3). Zwar scheint es plausibel, dass die geschilderte Situation mit dem vorbeifahrenden (...) schnell vorüberging, indes wären trotzdem konkretere und präzisere Angaben des Beschwerdeführers hierzu zu erwarten gewesen. Er gab lediglich oberflächlich an, dieser Mann sei an ihm vorbeigefahren und habe ihn gefragt, wie es um den Auftrag stehe. Auch auf erneutes Nachfragen nannte er keine weiteren konkreten Einzelheiten (vgl. A45/18 F83 ff.). Schliesslich ändert der Umstand, dass es bei der Protokollierung des Namens des Sohnes des verstorbenen Dorfvorstehers allenfalls zu einer Unstimmigkeit gekommen ist, nichts an der Unglaubhaftigkeit der Vorbringen. Der Beschwerdeführer hält somit mit seinen Ausführungen in der Rechtsmitteleingabe den vorinstanzlichen Erwägungen in der angefochtenen Verfügung nichts Stichhaltiges entgegen. Um Wiederholungen zu vermeiden, kann weitergehend auf die zutreffenden Erwägungen in der angefochtenen Verfügung verwiesen werden. Die Rüge der Verletzung von Bundesrecht geht fehl.</w:t>
      </w:r>
    </w:p>
    <w:p>
      <w:r>
        <w:rPr>
          <w:b/>
        </w:rPr>
        <w:t>E. 6.3</w:t>
      </w:r>
    </w:p>
    <w:p>
      <w:r>
        <w:t>Insgesamt ist es dem Beschwerdeführer nicht gelungen, die Flüchtlingseigenschaft nachzuweisen respektive glaubhaft zu machen. Für eine Rückweisung an die Vorinstanz zu weiteren Abklärungen besteht keine Veranlassung. Demnach hat die Vorinstanz die Flüchtlingseigenschaft des Beschwerdeführers zu Recht verneint und das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Der Beschwerdeführer beantragt die Gewährung der unentgeltlichen Rechtspflege gemäss Art. 65 Abs. 1 VwVG und unentgeltlichen Verbeiständung gemäss aArt. 110a Abs. 1 AsylG. Aufgrund der vorstehenden Erwägungen ergibt sich, dass die Begehren als aussichtslos zu gelten haben. Damit ist eine der kumulativ zu erfüllenden Voraussetzungen nicht gegeben, weshalb den Gesuchen nicht stattzugeben ist.</w:t>
      </w:r>
    </w:p>
    <w:p>
      <w:r>
        <w:rPr>
          <w:b/>
        </w:rPr>
        <w:t>E. 9.2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w:t>
      </w:r>
    </w:p>
    <w:p>
      <w:r>
        <w:rPr>
          <w:b/>
        </w:rPr>
        <w:t>E. 9.3</w:t>
      </w:r>
    </w:p>
    <w:p>
      <w:r>
        <w:t>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