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E-6311/2016 vom 15. Februar 2017</w:t>
      </w:r>
    </w:p>
    <w:p>
      <w:r>
        <w:t>Bundesverwaltungsgericht, 2017-02-15, DE</w:t>
      </w:r>
    </w:p>
    <w:p>
      <w:r>
        <w:rPr>
          <w:b/>
        </w:rPr>
        <w:t xml:space="preserve">Quelle: </w:t>
      </w:r>
      <w:r>
        <w:t>https://mcp.opencaselaw.ch/entscheid/bvger_E-6311_2016</w:t>
      </w:r>
    </w:p>
    <w:p>
      <w:r>
        <w:t>FR: TAF E-6311/2016 du 15 février 2017</w:t>
      </w:r>
    </w:p>
    <w:p>
      <w:r>
        <w:t>IT: TAF E-6311/2016 del 15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Beschwerdeführerin macht im Wesentlichen geltend, sie sei im September 2011 illegal aus Eritrea ausgereist, weil sie dort aufgrund von Vorladungen zum Militärdienst seit 2007 Probleme gehabt habe.</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4.3</w:t>
      </w:r>
    </w:p>
    <w:p>
      <w:r>
        <w:t>Was die Vorfluchtgründe der Beschwerdeführerin anbelangt, so fehlt es bereits an einem zeitlichen Kausalzusammenhang zwischen dem Ursprung der Probleme (2007) und ihrer Ausreise (September 2011). Indem die Beschwerdeführerin anlässlich der Zweitbefragung diametral abweichende Angaben zur Erstbefragung macht (z. B. Aufenthaltsorte, Schulklassen, SEM-Akten, A3, S. 4 und A24, S. 3 f., S. 10) und zentrale Elemente nachschiebt (Suche der Behörden am Arbeitsort, Festnahme der Mutter, gescheiterter Festnahmeversuch der Beschwerdeführerin durch Soldaten, insb. SEM-Akten, A24, S. 7 f.), erschüttert sie die Glaubhaftigkeit ihrer Vorbringen vollends (hierzu bereits EMARK 1993/3 E. 3 S. 13). Hinzu kommt, dass sich die Schilderungen in Eindimensionalität erschöpfen, mithin zu oberflächlich ausgefallen sind, um den Anforderungen gerecht zu werden, die an das Vorliegen eines zusätzlichen Anknüpfungspunkts gestellt werden. Die Beschwerde stellt der bereits von der Vorinstanz zutreffend festgestellten Unglaubhaftigkeit der Vorfluchtgründe nichts Stichhaltiges entgegen. Nachdem die Beschwerdeführerin neben der illegalen Ausreise keine zusätzlichen Anknüpfungspunkte für eine Verschärfung ihres Profils zu belegen oder mindestens glaubhaft zu machen vermag, lässt sich keine asylrechtlich beachtliche Verfolgung annehmen. Aufgrund der Bestätigung der Praxisänderung der Vorinstanz im oben genannten Urteil, ist auf die Beschwerdeausführungen zu BVGE 2010/54 nicht weiter einzugehen. Nach dem Gesagten vermögen die weiteren Beschwerdeausführungen zur illegalen Ausreise am Beweisergebnis nichts zu ändern. Indem die Vorinstanz eine vorläufige Aufnahme anordnete, hat sie den Umständen des Einzelfalls (Mutter mit Kind und Lage vor Ort) ausreichend Rechnung getragen. Um Wiederholungen zu vermeiden, ist auf das erwähnte Koordinationsurteil des Bundesverwaltungsgerichts sowie die zutreffenden Erwägungen der Vorinstanz zu verweisen, die zu Recht die Flüchtlingseigenschaft verneint und das Asylgesuch der Beschwerdeführerin und ihrer Tochter abgelehnt hat.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Es sind keine Verfahrenskosten zu erheben. Die Gesuche um Gewährung der unentgeltlichen Prozessführung und Verzicht der Erhebung eines Kostenvorschusses wurden bereits mit Zwischenverfügung vom 17. Oktober 2016 gemäss Art. 65 Abs. 1 VwVG gutgeheissen.</w:t>
      </w:r>
    </w:p>
    <w:p>
      <w:r>
        <w:rPr>
          <w:b/>
        </w:rPr>
        <w:t>E. 7.2</w:t>
      </w:r>
    </w:p>
    <w:p>
      <w:r>
        <w:t>Der vom Gericht am 17. Oktober 2016 bestellten unentgeltlichen Rechtsbeiständin ist eine Entschädigung zu Lasten des Gerichts auszurichten (Art. 65 Abs. 5 VwVG und Art. 12 i.V.m. Art. 8 ff. des Reglements vom 21. Februar 2008 über die Kosten und Entschädigungen vor dem Bundesverwaltungsgericht [VGKE, SR 173.320.2]). Es wurde eine Kostennote eingereicht. Diese ist nicht zu beanstanden. Das amtliche Honorar ist somit auf Fr. 1'119.20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