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E-6307/2023 vom 24. November 2023</w:t>
      </w:r>
    </w:p>
    <w:p>
      <w:r>
        <w:t>Bundesverwaltungsgericht, 2023-11-24, DE</w:t>
      </w:r>
    </w:p>
    <w:p>
      <w:r>
        <w:rPr>
          <w:b/>
        </w:rPr>
        <w:t xml:space="preserve">Quelle: </w:t>
      </w:r>
      <w:r>
        <w:t>https://mcp.opencaselaw.ch/entscheid/bvger_E-6307_2023</w:t>
      </w:r>
    </w:p>
    <w:p>
      <w:r>
        <w:t>FR: TAF E-6307/2023 du 24 novembre 2023</w:t>
      </w:r>
    </w:p>
    <w:p>
      <w:r>
        <w:t>IT: TAF E-6307/2023 del 24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in formeller Hinsicht eine unvollständige Feststellung des rechtserheblichen Sachverhalts und eine Verletzung der Begründungspflicht. Seine gesundheitlichen Beschwerden seien nur oberflächlich im Sachverhalt und nicht ansatzweise in den Erwägungen der angefochtenen Verfügung erwähnt worden. Die Einholung eines aktuellen Arztberichts, der über den psychischen und physischen Zustand Aufschluss gebe, sei unerlässlich.</w:t>
      </w:r>
    </w:p>
    <w:p>
      <w:r>
        <w:rPr>
          <w:b/>
        </w:rPr>
        <w:t>E. 3.2</w:t>
      </w:r>
    </w:p>
    <w:p>
      <w:r>
        <w:t>Diese Rügen erweisen sich als unbegründet. Die Vorinstanz hat auf sämtliche Akten betreffend den medizinischen Sachverhalt ausdrücklich Bezug genommen (vgl. S. 2 der angefochtenen Verfügung, I/Ziff. 8). Auf den Seiten 4 bis 6 der angefochtenen Verfügung wurden zudem die gesundheitlichen Beeinträchtigungen des Beschwerdeführers, die jeweiligen Behandlungstermine und die Medikation im Detail aufgeführt. Die Behauptung in der Rechtsmitteleingabe, die Vorinstanz habe die gesundheitlichen Beschwerden kaum erwähnt, entbehrt damit jeglicher Grundlage. Dass die Vorinstanz den Gesundheitszustand des Beschwerdeführers nicht als Überstellungshindernis eingestuft hat, stellt weder eine unvollständige Sachverhaltsfeststellung noch eine Verletzung der Begründungspflicht dar. Bei den Akten liegen die Befragungsresultate der medizinischen Erstkonsultation vom (...) September 2023, das interne Verlaufsblatt der medizinischen Betreuung mit über 20 Einträgen sowie Arztberichte betreffend ambulante Behandlungen vom (...) September 2023, vom (...) Oktober 2023, vom (...) Oktober 2023 sowie vom (...) November 2023, welche jeweils die gestellten Diagnosen und die verschriebenen Medikamente festhalten. Im Zeitpunkt der angefochtenen Verfügung standen keine weiteren Arzttermine aus. Der medizinische Sachverhalt ist damit als erstellt zu erachten und es ist nicht ersichtlich, welche weiteren Abklärungen noch vorzunehmen wären. Eine Rückweisung fällt damit ausser Betracht, womit der entsprechende Antrag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Nach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Gemäss Auszug aus der «Eurodac»-Datenbank hatte der Beschwerdeführer am (...) April 2022 und am 10. Februar 2023 in Frankreich Asylgesuche gestellt. Am 12. Oktober 2023 haben die französischen Behörden dem Wiederaufnahmeersuchen der Vorinstanz gestützt auf Art. 18 Abs. 1 Bst. d Dublin-III-VO zugestimmt. Die grundsätzliche Zuständigkeit Frankreichs ist somit gegeben, was auch vom Beschwerdeführer nicht bestritten wird.</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5.2</w:t>
      </w:r>
    </w:p>
    <w:p>
      <w:r>
        <w:t>Das Bundesverwaltungsgericht geht in ständiger Rechtsprechung davon aus, dass das französische Asylsystem keine systemischen Mängel im Sinne von Art. 3 Abs. 2 zweiter Satz Dublin-III-VO aufweist (vgl. statt vieler: Urteil des BVGer F-4731/2023 vom 8. September 2023). 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Der Beschwerdeführer bringt nichts vor, was diese Vermutung widerlegen könnte. Insbesondere vermag er nicht darzutun, dass die ihn bei einer Rückführung nach Frankreich zu erwartenden Bedingungen derart schlecht sind, dass sie zu einer Verletzung von Art. 3 EMRK führen könnten. Er hat zudem keine konkreten Hinweise für die Annahme dargelegt, Frankreich würde ihm dauerhaft die ihm gemäss Aufnahmerichtlinie zustehenden minimalen Lebensbedingungen vorenthalten.</w:t>
      </w:r>
    </w:p>
    <w:p>
      <w:r>
        <w:rPr>
          <w:b/>
        </w:rPr>
        <w:t>E. 6.4</w:t>
      </w:r>
    </w:p>
    <w:p>
      <w:r>
        <w:t>Es ist sodann festzustellen, dass die französischen Behörden das Asylgesuch des Beschwerdeführers offenbar abgelehnt haben. Die blosse Tatsache, dass ein Asylgesuch abgelehnt wurde, stellt jedoch noch keine Verletzung des Non-Refoulement-Prinzips dar (vgl. Urteil des BVGer E-5512/2023 vom 1. November 2023 E. 9.2.3 m.w.H.), und es bestehen auch keine Hinweise darauf, dass das französische Asylverfahren nicht in rechtsstaatlich korrekter Weise und unter Beachtung der anwendbaren völkerrechtlichen Bestimmungen durchgeführt worden ist. Es steht dem Beschwerdeführer frei, allfällige neue Asylgründe oder Wegweisungsvollzugshindernisse bei den französischen Behörden vorzubringen.</w:t>
      </w:r>
    </w:p>
    <w:p>
      <w:r>
        <w:rPr>
          <w:b/>
        </w:rPr>
        <w:t>E. 6.5.1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w:t>
      </w:r>
    </w:p>
    <w:p>
      <w:r>
        <w:rPr>
          <w:b/>
        </w:rPr>
        <w:t>E. 6.5.2</w:t>
      </w:r>
    </w:p>
    <w:p>
      <w:r>
        <w:t>Gemäss den aktenkundigen Arztberichten wurden beim Beschwerdeführer insbesondere eine Depression mit Verdacht auf eine posttraumatische Belastungsstörung, (...) diagnostiziert. Darüber hinaus leidet er unter Verhaltens- und psychischen Störungen infolge seiner Abhängigkeit von (...) (vgl. SEM-Akt. [...]-18/1, [...]-23/1, [...]-24/2, [...]-30/1). Der Beschwerdeführer ist unbestrittenermassen in einer schlechten gesundheitlichen Verfassung. Entgegen der in der Rechtsmitteleingabe vertretenen Auffassung ergibt sich aus den Akten jedoch nicht, dass eine Überstellung nach Frankreich seine Gesundheit lebensbedrohlich gefährden und ein reales Risiko einer drohenden Verletzung von Art. 3 EMRK bedeuten würde. Frankreich verfügt über eine ausreichende medizinische Infrastruktur (vgl. Urteil des BVGer D-5781/2023 vom 26. Oktober 2023 E. 6.3.4 m.w.H.), welche der Beschwerdeführer bereits in Anspruch genommen hat, war er doch nach eigenen Angaben dort rund zehn Monate in psychiatrischer Behandlung (SEM-Akt. [...]-15/5). Wie die Vorinstanz zutreffend ausführt,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dass Frankreich dem Beschwerdeführer nach der Überstellung eine adäquate medizinische Behandlung verweigern würde (vgl. Country Report France, Update 2022, der Asylum Information Database [AIDA], S. 112 f., laut welchem auch abgewiesene Asylsuchende in Frankreich Zugang zur Gesundheitsversorgung haben). Nach dem Gesagten vermag der Gesundheitszustand des Beschwerdeführers eine Unzulässigkeit im Sinne der restriktiven Rechtsprechung nicht zu rechtfertigen. An dieser Feststellung vermag auch die auf Beschwerdeebene geltend gemachte «subjektiv empfundene Gefährdungslage in Frankreich» nichts zu ändern.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und den Medikamentenbedarf des Beschwerdeführers informieren (vgl. Art. 31 f. Dublin-III-VO).</w:t>
      </w:r>
    </w:p>
    <w:p>
      <w:r>
        <w:rPr>
          <w:b/>
        </w:rPr>
        <w:t>E. 6.5.3</w:t>
      </w:r>
    </w:p>
    <w:p>
      <w:r>
        <w:t>Soweit in der Rechtsmitteleingabe gerügt wird, die Vorinstanz habe sich nicht konkret mit der Möglichkeit eines Selbsteintritts aus humanitären Gründen auseinandergesetzt und mithin ihr Ermessen unterschritten, ist Folgendes festzuhalten: Das SEM führte im angefochtenen Entscheid aus, dass in Würdigung der Akten und der vom Beschwerdeführer geäusserten Umstände keine Gründe bestünden, welche die Schweiz veranlassen würden, die Souveränitätsklausel anzuwenden. Es hat diesen Umständen in der Verfügung Rechnung getragen und sich mit der gesundheitlichen Situation des Beschwerdeführers und der Möglichkeit einer entsprechenden medizinischen Versorgung in Frankreich hinreichend auseinandergesetzt. Vor diesem Hintergrund ist nicht ersichtlich, inwiefern das SEM seiner Pflicht zur gesetzeskonformen Ermessensausübung nicht nachgekommen sein sollte. Soweit geltend gemacht wird, der psychisch belastete Beschwerdeführer brauche Stabilität und werde voraussichtlich grosse Schwierigkeiten bei der Integration in Frankreich haben, ist anzumerken, dass er sich erst seit rund zwei Monaten in der Schweiz aufhält. Es ist somit nicht davon ausgehen, dass ihn die Überstellung nach Frankreich aus einem Vertrauensverhältnis zu seinen behandelnden Ärzten reissen oder erzielte Therapieerfolge gefährden würde, zumal er in Frankreich über einen deutlich längeren Zeitraum in ärztlicher Behandlung war.</w:t>
      </w:r>
    </w:p>
    <w:p>
      <w:r>
        <w:rPr>
          <w:b/>
        </w:rPr>
        <w:t>E. 6.5.4</w:t>
      </w:r>
    </w:p>
    <w:p>
      <w:r>
        <w:t>Angesichts der vorstehenden Erwägungen ist kein Grund für eine zwingende Anwendung der Ermessensklausel von Art. 17 Dublin-III-VO ersichtlich. Auch ist den Akten nicht zu entnehmen, dass das SEM sein Ermessen bei der Prüfung von allfälligen Überstellungshindernissen nicht korrekt ausgeübt hätte.</w:t>
      </w:r>
    </w:p>
    <w:p>
      <w:r>
        <w:rPr>
          <w:b/>
        </w:rPr>
        <w:t>E. 7</w:t>
      </w:r>
    </w:p>
    <w:p>
      <w:r>
        <w:t>Die Vorinstanz ist zu Recht gestützt auf Art. 31a Abs. 1 Bst. b AsylG auf das Asylgesuch des Beschwerdeführers nicht eingetreten und hat die Überstellung nach Frankreich angeordnet.</w:t>
      </w:r>
    </w:p>
    <w:p>
      <w:r>
        <w:rPr>
          <w:b/>
        </w:rPr>
        <w:t>E. 8</w:t>
      </w:r>
    </w:p>
    <w:p>
      <w:r>
        <w:t>Die Beschwerde ist abzuweisen.</w:t>
      </w:r>
    </w:p>
    <w:p>
      <w:r>
        <w:rPr>
          <w:b/>
        </w:rPr>
        <w:t>E. 9</w:t>
      </w:r>
    </w:p>
    <w:p>
      <w:r>
        <w:t>Mit dem Entscheid in der Hauptsache sind die Gesuche um Erteilung der aufschiebenden Wirkung der Beschwerde und um Verzicht auf die Erhebung eines Kostenvorschusses gegenstandslos geworden. Der am 17. November 2023 verfügte einstweilige Vollzugsstopp fällt mit dem vorliegenden Urteil dahin.</w:t>
      </w:r>
    </w:p>
    <w:p>
      <w:r>
        <w:rPr>
          <w:b/>
        </w:rPr>
        <w:t>E. 10</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