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E-6307/2016 vom 23. Februar 2017</w:t>
      </w:r>
    </w:p>
    <w:p>
      <w:r>
        <w:t>Bundesverwaltungsgericht, 2017-02-23, DE</w:t>
      </w:r>
    </w:p>
    <w:p>
      <w:r>
        <w:rPr>
          <w:b/>
        </w:rPr>
        <w:t xml:space="preserve">Quelle: </w:t>
      </w:r>
      <w:r>
        <w:t>https://mcp.opencaselaw.ch/entscheid/bvger_E-6307_2016</w:t>
      </w:r>
    </w:p>
    <w:p>
      <w:r>
        <w:t>FR: TAF E-6307/2016 du 23 février 2017</w:t>
      </w:r>
    </w:p>
    <w:p>
      <w:r>
        <w:t>IT: TAF E-6307/2016 del 23 febbraio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Die Kognition des Bundesverwaltungsgerichts und die zulässigen Rügen richten sich im Asylbereich nach Art. 106 Abs. 1 AsylG.</w:t>
      </w:r>
    </w:p>
    <w:p>
      <w:r>
        <w:rPr>
          <w:b/>
        </w:rPr>
        <w:t>E. 2.2</w:t>
      </w:r>
    </w:p>
    <w:p>
      <w:r>
        <w:t>Gegenstand des vorliegenden Beschwerdeverfahrens bildet einzig die Flüchtlingseigenschaft des Beschwerdeführers. Im Asyl- und Wegweisungspunkt wird die Verfügung von ihm nicht angefochten und der Wegweisungsvollzug ist nicht mehr zu prüfen, nachdem die Vorinstanz den Beschwerdeführer wegen Unzumutbarkeit des Vollzugs der Wegweisung vorläufig aufgenommen hat.</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Gemäss Art. 54 AsylG wird Flüchtlingen kein Asyl gewährt, wenn sie erst durch ihre Ausreise aus dem Heimat- oder Herkunftsstaat oder wegen ihres Verhaltens nach der Ausreise Flüchtlinge im Sinne von Art. 3 AsylG wurden (subjektive Nachfluchtgründe).</w:t>
      </w:r>
    </w:p>
    <w:p>
      <w:r>
        <w:rPr>
          <w:b/>
        </w:rPr>
        <w:t>E. 4.1</w:t>
      </w:r>
    </w:p>
    <w:p>
      <w:r>
        <w:t>Die Vorinstanz führt in der angefochtenen Verfügung aus, der Beschwerdeführer erfülle die Flüchtlingseigenschaft nicht. Dieser mache geltend, illegal aus Eritrea ausgereist zu sein. Es müsse deshalb geprüft werden, ob konkrete Indizien vorliegen würden, welche eine Verfolgung im Heimatstaat mit beachtlicher Wahrscheinlichkeit nahelegen würden. Für Personen, welche freiwillig nach Eritrea zurückkehren würden, würden die eritreischen Straftatbestände für die illegale Ausreise nicht zur Anwendung gelangen. Illegal Ausgereiste könnten straffrei zurückkehren, sofern sie die sogenannte Disporasteuer bezahlt hätten und, sofern sie ihre nationale Dienstpflicht nicht erfüllt hätten, ein Reueformular unterzeichneten. Bei zwangsweisen Rückführungen müsse davon ausgegangen werden, dass der Nationaldienst-Status das wichtigste Kriterium für den Umgang der eritreischen Behörden mit Rückkehrern darstelle. Die illegale Ausreise spiele eine untergeordnete Rolle. Der Beschwerdeführer habe weder den Nationaldienst verweigert, noch sei er aus dem Nationaldienst desertiert. Er habe demnach nicht gegen die Proclamation on National Service von 1995 verstossen. Aus den Akten seien auch sonst keine Hinweise zu entnehmen, dass er bei einer Rückkehr ernsthafte Nachteile zu gewärtigen hätte. Die Vorbringen des Beschwerdeführers zur illegalen Ausreise aus Eritrea seine deshalb asylrechtlich unbeachtlich.</w:t>
      </w:r>
    </w:p>
    <w:p>
      <w:r>
        <w:rPr>
          <w:b/>
        </w:rPr>
        <w:t>E. 4.2</w:t>
      </w:r>
    </w:p>
    <w:p>
      <w:r>
        <w:t>Der Beschwerdeführer wendet dagegen ein, die von der Vorinstanz vorgenommene Praxisänderung entbehre jeglicher Grundlage. Es würden keine Herkunftsländerinformationen vorliegen, welche eine solche zu begründen vermögen würden. Es sei nicht gesichert, dass die gesetzlich vorgesehenen Strafen nicht angewendet werden würden und freiwillige Rückkehrer nicht in den Fokus der Behörden geraten würden. Die von der Vorinstanz vorgenommene Praxisänderung sei somit nicht zulässig. Er habe die illegale Ausreise glaubhaft geschildert, weshalb er die Flüchtlingseigenschaft erfülle. Zudem habe die Vorinstanz den Anspruch auf rechtliches Gehör verletzt. Sie habe die vorgenommene Praxisänderung nicht erläutert und die illegale Ausreise, welche erheblich und entscheidrelevant sei, nicht thematisiert. Die Vorinstanz habe daher ihre Begründungspflicht verletzt.</w:t>
      </w:r>
    </w:p>
    <w:p>
      <w:r>
        <w:rPr>
          <w:b/>
        </w:rPr>
        <w:t>E. 4.3</w:t>
      </w:r>
    </w:p>
    <w:p>
      <w:r>
        <w:t>Das Bundesverwaltungsgericht ging in seiner bisherigen Rechtsprechung davon aus, dass eine illegale Ausreise aus Eritrea als subjektiver Nachfluchtgrund anzusehen sei, weil illegal Ausgereiste bei einer Rückkehr nach Eritrea mit erheblichen Nachteilen im Sinne von Art. 3 AsylG rechnen müssten (vgl. Urteil des BVGer D-3892/2008 vom 6. April 2010 E. 5.3.3). Diese Rechtsprechung wurde jüngst aufgegeben. Das Bundesverwaltungsgericht kam im Urteil D-7898/2015 vom 30. Januar 2017 (zur Publikation als Referenzurteil vorgesehen) nach einer eingehenden Lageanalyse (E. 4.6-4.11) zum Schluss, dass die bisherige Praxis, wonach eine illegale Ausreise per se zur Flüchtlingseigenschaft führe, nicht mehr aufrechterhalten werden könne. Es sei nicht mit überwiegender Wahrscheinlichkeit davon auszugehen, dass einer Person einzig aufgrund ihrer illegalen Ausreise aus Eritrea eine asylrelevante Verfolgung drohe. Nicht asylrelevant sei auch die Möglichkeit, dass jemand nach der Rückkehr in den Nationaldienst eingezogen werde (E. 5.1). Für die Begründung der Flüchtlingseigenschaft im eritreischen Kontext bedürfe es neben der illegalen Ausreise zusätzlicher Anknüpfungspunkte, welche zu einer Verschärfung des Profils und dadurch zu einer flüchtlingsrechtlich relevanten Verfolgungsgefahr führen könnten (E. 5.2).</w:t>
      </w:r>
    </w:p>
    <w:p>
      <w:r>
        <w:rPr>
          <w:b/>
        </w:rPr>
        <w:t>E. 4.4</w:t>
      </w:r>
    </w:p>
    <w:p>
      <w:r>
        <w:t>Die Frage der Zulässigkeit der Praxisänderung der Vorinstanz bezüglich der flüchtlingsrechtlichen Beurteilung der illegalen Ausreise aus Eritrea ist vom Bundesverwaltungsgericht somit geklärt worden. Es kam zum Schluss, dass allein aufgrund einer illegalen Ausreise keine begründete Furcht vor asylrechtlich beachtlicher Verfolgung angenommen werden könne (vgl. oben E. 4.3). Nachdem das Bundesverwaltungsgericht die Praxisänderung der Vorinstanz bestätigt und die illegale Ausreise als für sich allein flüchtlingsrechtlich nicht relevant qualifiziert hat, gibt es keinen Grund, eine Verletzung des rechtlichen Gehörs in Form der Begründungspflicht wegen ungenügender Äusserung zur Praxisänderung und zur illegalen Ausreise anzunehmen, wie es der Beschwerdeführer auf Beschwerdeebene vorbringt. Dieser weist neben der illegalen Ausreise keine zusätzlichen Anknüpfungspunkte für eine Verschärfung seines Profils auf, weshalb sich keine asylrechtlich beachtliche Verfolgung annehmen lässt. Aus den eingereichten Beweismitteln kann der Beschwerdeführer nichts zu seinen Gunsten ableiten.</w:t>
      </w:r>
    </w:p>
    <w:p>
      <w:r>
        <w:rPr>
          <w:b/>
        </w:rPr>
        <w:t>E. 4.5</w:t>
      </w:r>
    </w:p>
    <w:p>
      <w:r>
        <w:t>Zusammenfassend konnte der Beschwerdeführer das Vorliegen von subjektiven Nachfluchtgründen nicht nachweisen oder zumindest glaubhaft machen. Die Vorinstanz hat deshalb zu Recht die Flüchtlingseigenschaft des Beschwerdeführers verneint.</w:t>
      </w:r>
    </w:p>
    <w:p>
      <w:r>
        <w:rPr>
          <w:b/>
        </w:rPr>
        <w:t>E. 5</w:t>
      </w:r>
    </w:p>
    <w:p>
      <w:r>
        <w:t>Aus diesen Erwägungen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6.1</w:t>
      </w:r>
    </w:p>
    <w:p>
      <w:r>
        <w:t>Bei diesem Ausgang des Verfahrens wären die Kosten dem Beschwerdeführer aufzuerlegen (Art. 63 Abs. 1 VwVG). Da der Antrag auf Gewährung der unentgeltlichen Prozessführung mit Zwischenverfügung vom 19. Oktober 2016 gutgeheissen wurde, sind keine Kosten zu erheben.</w:t>
      </w:r>
    </w:p>
    <w:p>
      <w:r>
        <w:rPr>
          <w:b/>
        </w:rPr>
        <w:t>E. 6.2</w:t>
      </w:r>
    </w:p>
    <w:p>
      <w:r>
        <w:t>Mit Zwischenverfügung vom 19. Oktober 2016 wurde dem Beschwerdeführer die unentgeltliche Rechtsverbeiständung gewährt und Ass. iur. Christian Hoffs als amtlicher Vertreter eingesetzt. Dem amtlichen Vertreter ist durch das Bundesverwaltungsgericht ein amtliches Honorar gemäss der eingereichten Kostennote in der Höhe von Fr. 502.50 (inkl.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