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E-6305/2015 vom 16. März 2017</w:t>
      </w:r>
    </w:p>
    <w:p>
      <w:r>
        <w:t>Bundesverwaltungsgericht, 2017-03-16, FR</w:t>
      </w:r>
    </w:p>
    <w:p>
      <w:r>
        <w:rPr>
          <w:b/>
        </w:rPr>
        <w:t xml:space="preserve">Quelle: </w:t>
      </w:r>
      <w:r>
        <w:t>https://mcp.opencaselaw.ch/entscheid/bvger_E-6305_2015</w:t>
      </w:r>
    </w:p>
    <w:p>
      <w:r>
        <w:t>FR: TAF E-6305/2015 du 16 mars 2017</w:t>
      </w:r>
    </w:p>
    <w:p>
      <w:r>
        <w:t>IT: TAF E-6305/2015 del 16 marzo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En l'espèce, le SEM a fait application de l'art. 54 LAsi, aux termes duquel l'asile n'est pas accordé à la personne qui n'est devenue un réfugié au sens de l'art. 3 qu'en quittant son Etat d'origine ou de provenance ou en raison de son comportement ultérieur. En effet, c'est uniquement en raison de son départ d'Erythrée que l'intéressé s'est vu reconnaître cette qualité. La seule question qui se pose est donc de savoir si le recourant a pu prouver ou du moins rendre vraisemblable qu'il était un réfugié, en raison des événements antérieurs à son départ de son Etat d'origine ; si tel est le cas, l'asile doit lui être accordé.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la crédibilité et le sérieux de ses motifs.</w:t>
      </w:r>
    </w:p>
    <w:p>
      <w:r>
        <w:rPr>
          <w:b/>
        </w:rPr>
        <w:t>E. 3.2</w:t>
      </w:r>
    </w:p>
    <w:p>
      <w:r>
        <w:t>Certes, le Tribunal ne remet pas en cause le fait que l'intéressé ait dû accomplir un service militaire de longue durée, ni qu'il ait subi des sévices en 2006 en raison d'un retour tardif de congé ; la réalité en est établie par les rapports médicaux produits. Il s'agit là, cependant, d'événements très antérieurs à son départ, sans rapport avec celui-ci. En revanche, les circonstances dans lesquelles il aurait finalement décidé de quitter l'Erythrée, ainsi que les raisons de cette décision, sont douteuses. Au CEP, il n'a rien dit de sa détention de 2011, pourtant à l'origine de son départ. Il ne peut justifier cette carence, comme il l'a fait, par le caractère sommaire de l'audition, dans la mesure où il a répondu à l'interrogateur qu'il n'avait été placé en détention qu'une fois, en 2006 ; il n'a pas non plus modifié sa réponse, lorsqu'il a été interrogé sur le motif de sa « seule détention » (« Der Grund ihrer einzigen Haft ? »). A cela s'ajoute que le comportement du recourant, tel qu'il le décrit, est incompréhensible : après son absence illégale de dix jours, alors qu'il était parfaitement informé des risques qu'il courait, il n'aurait pas hésité à regagner son cantonnement, afin de récupérer sa carte d'identité. Il a expliqué que le passeur en avait besoin pour obtenir un laissez-passer ; la suite de son récit indique cependant qu'il a quitté l'Erythrée sans autorisation, passant la frontière à pied, en dehors d'un poste-frontière, sans avoir besoin d'aucun document. L'acte de recours ne fournit aucune explication à ce sujet. En outre, durant les deux ans et demi passés au Soudan, l'intéressé ne s'est pas préoccupé de demander une protection contre la menace de persécution qui l'aurait visé ; il apparaît que c'est bien plutôt les difficultés de la vie quotidienne et le risque de ne plus pouvoir exercer son activité professionnelle qui l'auraient incité à quitter ce pays.</w:t>
      </w:r>
    </w:p>
    <w:p>
      <w:r>
        <w:rPr>
          <w:b/>
        </w:rPr>
        <w:t>E. 3.3</w:t>
      </w:r>
    </w:p>
    <w:p>
      <w:r>
        <w:t>Enfin, rien ne permet de retenir que son départ ait exposé ses proches à de quelconques représailles. Si l'intéressé fait référence à l'emprisonnement de deux de ses frères (cf. procès-verbal de l'audition du 29 avril 2015, question 44), il ne la met pas en rapport avec son cas personnel. De même, s'il a fait état de l'intention des autorités de confisquer un terrain appartenant à son père, il a précisé qu'elles y avaient finalement renoncé (idem, questions 232-234).</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prononcé l'admission provisoire du recourant. Cette question n'a donc pas à être tranchée.</w:t>
      </w:r>
    </w:p>
    <w:p>
      <w:r>
        <w:rPr>
          <w:b/>
        </w:rPr>
        <w:t>E. 5</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6.1</w:t>
      </w:r>
    </w:p>
    <w:p>
      <w:r>
        <w:t>L'assistance judiciaire totale ayant été accordée, il n'est pas perçu de frais.</w:t>
      </w:r>
    </w:p>
    <w:p>
      <w:r>
        <w:rPr>
          <w:b/>
        </w:rPr>
        <w:t>E. 6.2</w:t>
      </w:r>
    </w:p>
    <w:p>
      <w:r>
        <w:t>En application de l'art. 14 al. 2 du règlement du 21 février 2008 concernant les frais, dépens et indemnités fixés par le Tribunal administratif fédéral (FITAF, RS 173.320.2), le Tribunal fixe l'indemnité du mandataire d'office sur la base du décompte de prestations.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w:t>
      </w:r>
    </w:p>
    <w:p>
      <w:r>
        <w:rPr>
          <w:b/>
        </w:rPr>
        <w:t>E. 6.3</w:t>
      </w:r>
    </w:p>
    <w:p>
      <w:r>
        <w:t>Dans le cas d'espèce, la note jointe au recours fait état de quatre heures de travail à 200 francs de l'heure et de 50 francs de frais, d'où un total de 850 francs (le total de 450 francs porté sur la note résulte manifestement d'une erreur). S'y ajoute la rédaction d'une réplique, ayant nécessité, selon l'estimation du Tribunal, une heure de travail. Le tarif horaire étant arrêté à 150 francs, les cinq heures de travail seront rémunérées à hauteur de 750 francs, plus les frais par 50 francs, soit un total de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