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E-6301/2007 vom 11. August 2010</w:t>
      </w:r>
    </w:p>
    <w:p>
      <w:r>
        <w:t>Bundesverwaltungsgericht, 2010-08-11, DE</w:t>
      </w:r>
    </w:p>
    <w:p>
      <w:r>
        <w:rPr>
          <w:b/>
        </w:rPr>
        <w:t xml:space="preserve">Quelle: </w:t>
      </w:r>
      <w:r>
        <w:t>https://mcp.opencaselaw.ch/entscheid/bvger_E-6301_2007</w:t>
      </w:r>
    </w:p>
    <w:p>
      <w:r>
        <w:t>FR: TAF E-6301/2007 du 11 août 2010</w:t>
      </w:r>
    </w:p>
    <w:p>
      <w:r>
        <w:t>IT: TAF E-6301/2007 del 11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112 des Bundesgesetzes vom 16. Dezember 2005 über die Ausländerinnen und Ausländer [AuG, SR 142.20]); Art. 83 Bst. d Ziff. 1 des Bundesgerichtsgesetzes vom 17. Juni 2005 [BGG, SR 173.110]).</w:t>
      </w:r>
    </w:p>
    <w:p>
      <w:r>
        <w:rPr>
          <w:b/>
        </w:rPr>
        <w:t>E. 1.2</w:t>
      </w:r>
    </w:p>
    <w:p>
      <w:r>
        <w:t>Die Beschwerde ist frist- und formgerecht eingereicht Die Beschwerdeführenden sind durch die angefochtene Verfügung besonders berührt und haben ein schutzwürdiges Interesse an deren Aufhebung beziehungsweise Änderung; sie sind daher zur Einreichung der Beschwerde legitimiert (Art. 37 VGG i.V.m. Art. 48 Abs. 1 VwVG, Art. 50 VwVG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49 VwVG).</w:t>
      </w:r>
    </w:p>
    <w:p>
      <w:r>
        <w:rPr>
          <w:b/>
        </w:rPr>
        <w:t>E. 3</w:t>
      </w:r>
    </w:p>
    <w:p>
      <w:r>
        <w:t>Nach der Ablehnung eines Asylgesuchs oder einem Nichteintreten darauf verfügt das BFM in der Regel die Wegweisung aus der Schweiz und ordnet den Vollzug ab. Erweist sich der Wegweisungsvollzug als unzulässig, unzumutbar oder unmöglich, regelt es die Anwesenheit mit dem fremdenpolizeilichen Status der vorläufigen Aufnahme nach den Bestimmungen des AuG (Art. 44 AsylG; vgl. zum Institut der vorläufigen Aufnahme allgemein BVGE 2009/40 E. 4.4.1 und speziell im Asylverfahren BVGE 2009/40 E. 4.4.2). Hat es dem abgewiesenen Asylsuchenden einmal die vorläufige Aufnahme gewährt, überprüft das BFM periodisch, ob die Voraussetzungen dafür noch gegeben sind. Kommt es zum Schluss, dass sie es nicht sind, hebt es die vorläufige Aufnahme auf und ordnet den Vollzug der Wegweisung an (Art. 84 Abs. 1 und 2 AuG). Die Voraussetzungen für die vorläufige Aufnahme sind nicht mehr gegeben, wenn der Vollzug der rechtskräftig angeordneten Wegweisung gemessen an der aktuellen Situation (vgl. Entscheidungen und Mitteilungen der Schweizerischen Asylrekurskommission [EMARK] 1997 Nr. 27 E. 4f S. 211) zulässig (Art. 83 Abs. 3 AuG) und es dem abgewiesenen Asylsuchenden zumutbar (Art. 83 Abs. 4 AuG) und möglich (Art. 83 Abs. 2 AuG) ist, sich rechtmässig in seinen Heimatstaat, in den Herkunftsstaat oder in einen Drittstaat zu begeben (Art. 44 Abs. 2 AsylG e contrario). Gegenstand dieses Beschwerdeverfahrens bildet einzig die Frage, ob das BFM die vorläufige Aufnahme zu Recht aufgehoben hat. Der angefochtene Aufhebungsentscheid des BFM hat sich somit nicht nur vor der im Moment seines Erlasses gegebenen Sach- und Rechtslage zu behaupten, sondern auch gegenüber den im Verlauf des Beschwerdeverfahrens hinzugetretenen Tatsachen und Beweismitteln zu bewähren. Sind nicht alle drei genannten Bedingungen (Zulässigkeit, Zumutbarkeit und Möglichkeit des Wegweisungsvollzugs) gleichzeitig erfüllt (vgl. zur entgegengesetzten Konstellation bei der Gewährung einer vorläufigen Aufnahme BVGE 2009/51 E. 5.4 S. 748), erweist sich der Vollzug der Wegweisung unverändert als undurchführbar, und eine Aufhebung der vorläufigen Aufnahme fällt - Art. 84 Abs. 3 AuG vorbehalten - nicht in Betracht. Wie im Folgenden darzulegen sein wird, ist der Vollzug der Wegweisung der Beschwerdeführenden (weiterhin) als unzumutbar zu beurteilen. Dementsprechend erübrigt sich eine Erörterung der beiden anderen Kriterien.</w:t>
      </w:r>
    </w:p>
    <w:p>
      <w:r>
        <w:rPr>
          <w:b/>
        </w:rPr>
        <w:t>E. 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AuG vom 8. März 2002, BBl 2002 3818).</w:t>
      </w:r>
    </w:p>
    <w:p>
      <w:r>
        <w:rPr>
          <w:b/>
        </w:rPr>
        <w:t>E. 4.2</w:t>
      </w:r>
    </w:p>
    <w:p>
      <w:r>
        <w:t>Entgegen den Ausführungen in der Beschwerdeschrift herrscht im jetzigen Zeitpunkt in Kosovo klarerweise nicht eine generell unsichere, von bewaffneten Konflikten oder jederzeit drohenden Unruhen geprägte Lage, aufgrund derer die Beschwerdeführenden bei einer Rückkehr unweigerlich einer konkreten Gefährdung ausgesetzt würden. Blosse soziale und wirtschaftliche Schwierigkeiten, von denen weite Teile der ansässigen Bevölkerung betroffen sind, genügen nicht, um eine Gefährdung im Sinne von Art. 83 Abs. 4 AuG darzustellen (vgl. dazu die weiterhin zutreffende Praxis der ARK in EMARK 2005 Nr. 24 E. 10.1. S. 215).</w:t>
      </w:r>
    </w:p>
    <w:p>
      <w:r>
        <w:rPr>
          <w:b/>
        </w:rPr>
        <w:t>E. 4.2.1</w:t>
      </w:r>
    </w:p>
    <w:p>
      <w:r>
        <w:t>Was die albanischsprachigen Roma, Ashkali und "Ägypter" aus Kosovo im Allgemeinen betrifft, so hat das Bundesverwaltungsgericht in BVGE 2007/10 die letzte Lagebeurteilung der ARK (wiedergegeben in EMARK 2006 Nr. 10 und Nr. 11) aktualisiert und befunden, der Wegweisungsvollzug von Angehörigen dieser Minderheiten nach Kosovo sei in der Regel zumutbar, sofern aufgrund einer Einzelfallabklärung (insbesondere durch Untersuchungen vor Ort durch das Verbindungsbüro [heute: Schweizerische Botschaft] in Kosovo) feststehe, dass bestimmte Reintegrationskriterien - wie berufliche Ausbildung, Gesundheitszustand, Alter, ausreichende Lebensgrundlage und Beziehungsnetz - erfüllt seien. Diese Beurteilung ist auch nach der Unabhängigkeit Kosovos noch gültig.</w:t>
      </w:r>
    </w:p>
    <w:p>
      <w:r>
        <w:rPr>
          <w:b/>
        </w:rPr>
        <w:t>E. 4.2.2</w:t>
      </w:r>
    </w:p>
    <w:p>
      <w:r>
        <w:t>Entgegen der Ansicht der Beschwerdeführenden kann mangels nicht widerlegter Tatsachen der Einzelfallabklärung mit der Vorinstanz zu Recht davon ausgegangen werden, dass sie mit den Eltern des Beschwerdeführers, dessen Bruder und Familie sowie den drei Schwestern an ihrer letzten Wohnadresse in ihrem Heimatstaat über ein tragfähiges familiäres Beziehungsnetz verfügen. Es ist zwar nicht auszuschliessen, dass eine Rückkehr der Beschwerdeführenden nach Kosovo ihre Verwandten aufgrund der damit verbundenen Verpflichtung, sich um diese zu kümmern, vor gewisse Probleme stellen könnte. Dennoch ist davon auszugehen, dass diese im Rahmen ihrer verwandtschaftlichen Unterstützungspflicht, welche im kulturspezifischen Kontext in Kosovo sehr ausgeprägt ist und aufgrund der finanziellen Verhältnisse der Familie, die gemäss Abklärungsergebnis vor Ort eine der reichsten im Quartier sei, für die unterstützungsbedürftigen Beschwerdeführenden sorgen könnten. Finanzielle Unterstützung wäre insbesondere auch durch die in (...) lebenden Geschwister der Beschwerdeführenden gewährleistet. Die Erklärung, wonach die Familie des Beschwerdeführers nicht für die Beschwerdeführenden sorgen beziehungsweise diese nicht bei sich aufnehmen könnte, vermag aufgrund der Abklärungsergebnisse vor Ort nicht zu überzeugen. Aufgrund des Gesundheitszustands der Beschwerdeführerin (vgl. E. 4.3.1 S. 9 f.) kann von den Familienangehörigen zwar nicht erwartet werden, dass die Beschwerdeführenden ihr Auskommen vollständig, zum Beispiel durch Arbeit im (...), selber verdienen. Mit der erwähnten Unterstützung der zahlreichen Verwandten und dem Vermögen der Kernfamilie dürfte es ihnen aber dennoch möglich sein, in Kosovo wieder eine Existenz aufzubauen und eine allfällige medizinische Betreuung der Beschwerdeführerin zu finanzieren. Dies insbesondere angesichts der Tatsache, dass sie - laut Aussagen in der Beschwerde - sicher in der ersten Zeit im Elternhaus des Beschwerdeführers leben könnten.</w:t>
      </w:r>
    </w:p>
    <w:p>
      <w:r>
        <w:rPr>
          <w:b/>
        </w:rPr>
        <w:t>E. 4.3</w:t>
      </w:r>
    </w:p>
    <w:p>
      <w:r>
        <w:t>Für die Beschwerdeführenden stehen eigenen Angaben zufolge in erster Linie die gesundheitlichen Probleme sowie die fortgeschrittene Integration in der Schweiz, welche die Aufhebung der vorläufigen Aufnahme als unverhältnismässig erscheinen lasse, der Zumutbarkeit eines Wegweisungsvollzugs entgegen. Hinsichtlich der geltend gemachten Erkrankung der Beschwerdeführerin ist vorab darauf hinzuweisen, dass aufgrund gesundheitlicher Probleme eines abgewiesenen Asylbewerbers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nicht vor, wenn im Heimat- oder Herkunftsstaat eine nicht dem schweizerischen Standard entsprechende medizinische Behandlung möglich ist. Wenn die notwendige Behandlung im Heimat- oder Herkunftsstaat sichergestellt ist, so ist der Vollzug der Wegweisung als zumutbar zu beurteilen (vgl. Gabrielle Steffen, Droit aux soins et rationnement, Bern 2002, S. 81 f. und 87; EMARK 2003 Nr. 24 E. 5a und b). Aus den eingereichten ärztlichen Berichten des (...) vom 18. September 2007 und vom 20. April 2010 geht im Wesentlichen hervor, dass die Beschwerdeführerin unter einer Depression schweren Grades mit Suizidalität (ICD-10: F32.2), einer Somatisierungsstörung mit chronischen Rücken- und Beinschmerzen (ICD-10: F45.5) sowie unter einer PTBS mit ausgeprägten Schlafstörungen, (ICD F 43.1) leidet. Trotz mehrjähriger Behandlung in der Schweiz ist es der Beschwerdeführerin offenbar nicht gelungen, die aussagegemäss in ihrer Heimat erlebten Bedrohungen und Gewalttaten soweit zu verarbeiten, dass sie angstfrei leben kann, zumal sie auch in der Schweiz täglich von Hoffnungslosigkeit und Ängsten begleitet sei. Offenbar hat durch die Behandlung lediglich eine leichte Verbesserung ihres Zustandes erreicht werden können (vgl. dazu Arztbericht vom 18. September 2007, wonach eine Depression schweren Grades und den Arztbericht vom 20. April 2010, wo eine depressive Störung, gegenwärtig mittelgradige Episode, diagnostiziert wurde). Empfohlen wird eine Weiterführung der Psychotherapie.</w:t>
      </w:r>
    </w:p>
    <w:p>
      <w:r>
        <w:rPr>
          <w:b/>
        </w:rPr>
        <w:t>E. 4.3.1</w:t>
      </w:r>
    </w:p>
    <w:p>
      <w:r>
        <w:t>Betreffend die medizinischen Behandlungsmöglichkeiten im Kosovo ist festzuhalten, dass es im Grossraum X._______, wo die Beschwerdeführenden bis zur ihrer Ausreise im Oktober 2001 lebten, neben der staatlichen medizinischen Infrastruktur auch eine von nicht-staatlichen Organisationen getragene Gesundheitsversorgung gibt. So steht neben einem Regionalspital, das über eine neuropsychiatrische Abteilung verfügt, ein mit internationaler Unterstützung eingerichtetes Gesundheitszentrum (Community Mental Health Center) zur Verfügung (vgl. Schweizerische Flüchtlingshilfe, "Kosovo, Zur Lage der medizinischen Versorgung - Update" vom 7. Juni 2007). Mit Hilfe der Schweiz wurden in sechs Gemeinden von Kosovo unter anderem zwei psychiatrische Pflegezentren eingerichtet. Ebenso wurde am Universitätsspital in Pristina, welches keine (...) Busstunden von X._______ entfernt liegt, bereits im Jahre 2005 eine psychiatrische Intensivpflegeabteilung eröffnet, die qualifizierte Pflegeleistungen erbringen kann (vgl. Direktion für Entwicklung und Zusammenarbeit, "Zusammenarbeit mit den Staaten Osteuropas", November 2008, S. 22).</w:t>
      </w:r>
    </w:p>
    <w:p>
      <w:r>
        <w:rPr>
          <w:b/>
        </w:rPr>
        <w:t>E. 4.3.2</w:t>
      </w:r>
    </w:p>
    <w:p>
      <w:r>
        <w:t>Vor diesem Hintergrund ist davon auszugehen, dass die medizinische Grundversorgung der Beschwerdeführerin in ihrer Heimat gewährleistet ist. Die von ihr benötigte Behandlung dürfte in Kosovo - jedenfalls teilweise - erhältlich sein. Auch wenn sie Schwierigkeiten bekundet, sich in neuen Situationen zurecht zu finden, ist es ihr zumutbar, sich an die in Kosovo vorhandenen medizinischen Institutionen zu wenden, um die notwendige Behandlung fortsetzen zu können.</w:t>
      </w:r>
    </w:p>
    <w:p>
      <w:r>
        <w:rPr>
          <w:b/>
        </w:rPr>
        <w:t>E. 4.4.1</w:t>
      </w:r>
    </w:p>
    <w:p>
      <w:r>
        <w:t>Sind von einem allfälligen Wegweisungsvollzug Kinder betroffen, so bildet im Rahmen der Zumutbarkeitsprüfung das Kindeswohl einen Gesichtspunkt von gewichtiger Bedeutung. Dies ergibt sich nicht zuletzt aus einer völkerrechtskonformen Auslegung des gegenüber dem früheren Art. 14 Abs. 4 aANAG (heute Art. 83 Abs. 4 AuG im Lichte von Art. 3 Abs. 1 der Konvention über die Rechte des Kindes (KRK). Unter dem Aspekt des Kindeswohls sind demnach sämtliche Umstände einzubeziehen und zu würdigen, die im Hinblick auf eine Wegweisung wesentlich erscheinen (vgl. EMARK 2005 Nr. 6 E. 6.1. S. 57 sowie EMARK 2006 Nr. 24, mit Hinweisen). So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usw.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Ferner können erschwerte (Re-)Integrationsmöglichkeiten im Heimatstaat infolge einer fortgeschrittenen Assimilierung des Kindes in der Schweiz zur Feststellung der Unzumutbarkeit des Wegweisungsvollzugs der ganzen Familie führen (vgl. EMARK 2005 Nr. 6 E. 6. S. 57 f.).</w:t>
      </w:r>
    </w:p>
    <w:p>
      <w:r>
        <w:rPr>
          <w:b/>
        </w:rPr>
        <w:t>E. 4.4.2</w:t>
      </w:r>
    </w:p>
    <w:p>
      <w:r>
        <w:t>Die Beschwerdeführenden sind mit ihren beiden Kindern C._______ und D._______ im Oktober 2001 in die Schweiz gelangt. Während des Beschwerdeverfahrens gebar die Beschwerdeführerin zwei weitere Kinder (E._______ und F._______. Die Familie hält sich demnach seit nahezu neun Jahren in der Schweiz auf. Im Zeitpunkt der Einreise waren die beiden älteren Kinder C._______ sieben und D._______ fünf Jahre alt, heute sind sie 16- und 14-jährig. Aufgrund des Alters von C._______ und D._______ im Zeitpunkt der Einreise in die Schweiz ergibt sich, dass sie ihre gesamte bisherige schulische Ausbildung hier durchlaufen haben. Mit der Einschulung in der Schweiz haben sie Schweizer Dialekt und Hochdeutsch erlernt und sich zusehends an die schweizerische Lebensweise assimiliert beziehungsweise sind insbesondere durch den Besuch der Schule in erheblichem Mass durch das hiesige kulturelle und soziale Umfeld geprägt worden. Es ist auch davon auszugehen, dass sie sich in den letzten neun Jahren ein eigenes persönliches Beziehungsnetz geschaffen haben. Demgegenüber werden sie kaum über die - namentlich schriftlichen - Kenntnisse ihrer Muttersprache verfügen, welche für eine erfolgreiche Eingliederung ins Schulsystem in der Heimat vorauszusetzen wäre. Auch werden sie aufgrund der langjährigen Abwesenheit kaum Kontakte zu anderen gleichaltrigen Personen in ihrem Heimatland haben. Angesichts dessen sowie der kulturellen Differenzen zwischen der Schweiz und Kosovo wäre ihre Reintegration in der Heimat in erhöhtem Masse in Frage gestellt. Bei dieser Sachlage besteht für C._______ und D._______ somit die konkrete Gefahr, dass die mit einem Vollzug der Wegweisung verbundene Entwurzelung aus dem gewachsenen sozialen Umfeld in der Schweiz einerseits und die sich gleichzeitig abzeichnende Problematik einer Reintegration in die ihnen weitgehend fremde Kultur und Umgebung im Heimatland andererseits zu starken Belastungen in ihrer weiteren Entwicklung führen würden, die mit dem Schutzanliegen des Kindeswohls nicht zu vereinbaren wären. In Würdigung der vorstehenden Ausführungen gelangt das Bundesverwaltungsgericht zum Schluss, dass sich der Vollzug der Wegweisung von C._______ und D._______ nach Kosovo als nicht zumutbar im Sinne von Art. 83 Abs. 4 AuG erweist (vgl. BVGE 2009/51 E. 5.8.2 S. 753, BVGE 2009/28 E. 9.3.4 S. 368 f.; EMARK 2005 Nr. 6 E. 7.1 S. 58 f.).</w:t>
      </w:r>
    </w:p>
    <w:p>
      <w:r>
        <w:rPr>
          <w:b/>
        </w:rPr>
        <w:t>E. 4.5</w:t>
      </w:r>
    </w:p>
    <w:p>
      <w:r>
        <w:t>Im Rahmen einer Gesamtwürdigung der genannten Aspekte und unter Berücksichtigung des Grundsatzes der Einheit der Familie (vgl. Art. 44 Abs. 1 AsylG in fine; EMARK 1998 Nr. 31 E. 8c.ee S. 258, EMARK 1996 Nr. 18 E. 14e S. 189 f., EMARK 1995 Nr. 24 E. 11 S. 230 ff.) gelangt das Bundesverwaltungsgericht zum Schluss, dass der Vollzug der Wegweisung der Beschwerdeführenden (auch) zum heutigen Zeitpunkt als nicht zumutbar zu erachten ist. Aus den Akten ergeben sich ferner keine Hinweise auf ein unbotmässiges Verhalten der Beschwerdeführenden im Sinn von Art. 83 Abs. 7 AuG (vgl. Art. 84 Abs. 3 AuG). Die Voraussetzungen für die vorläufige Aufnahme der Beschwerdeführenden in der Schweiz sind somit nach wie vor gegeben.</w:t>
      </w:r>
    </w:p>
    <w:p>
      <w:r>
        <w:rPr>
          <w:b/>
        </w:rPr>
        <w:t>E. 5</w:t>
      </w:r>
    </w:p>
    <w:p>
      <w:r>
        <w:t>Aus dem Erwogenen ergibt sich, dass das BFM mit der angefochtenen Verfügung vom 30. Mai 2007 gegen die Bestimmung von Art. 84 Abs. 2 AuG verstossen und damit Bundesrecht verletzt hat (vgl. Art. 106 Abs. 1 Bst. a AsylG). Die Verfügung vom 20. August 2007 ist daher in Gutheissung der Beschwerde aufzuheben, wodurch die mit Verfügung vom 18. Mai 2005 angeordnete vorläufige Aufnahme weiterhin wirksam bleibt.</w:t>
      </w:r>
    </w:p>
    <w:p>
      <w:r>
        <w:rPr>
          <w:b/>
        </w:rPr>
        <w:t>E. 6.1</w:t>
      </w:r>
    </w:p>
    <w:p>
      <w:r>
        <w:t>Mit Blick auf die Kostenverlegung ist dem Gesagten zufolge von einem vollständigen Obsiegen der Beschwerdeführenden auszugehen. Diesem Verfahrensausgang entsprechend sind den Beschwerdeführenden keine Kosten aufzuerlegen (vgl. Art. 63 Abs. 1 VwVG). Das Gesuch um Gewährung der unentgeltlichen Rechtspflege im Sinne von Art. 65 Abs. 1 VwVG ist damit als gegenstandslos zu betrachten.</w:t>
      </w:r>
    </w:p>
    <w:p>
      <w:r>
        <w:rPr>
          <w:b/>
        </w:rPr>
        <w:t>E. 6.2</w:t>
      </w:r>
    </w:p>
    <w:p>
      <w:r>
        <w:t>Den Beschwerdeführenden ist - als vollständig obsiegender Partei - für die ihnen im Beschwerdeverfahren erwachsenen notwendigen Kosten eine Parteientschädigung zuzusprechen (Art. 64 Abs. 1 VwVG, Art. 16 Abs. 1 Bst. a VGG i.V.m. Art. 7 Abs. 1 des Reglements vom 21. Februar 2008 über die Kosten und Entschädigungen vor dem Bundesverwaltungsgericht [VGKE, SR 173.320.2]). Die Beschwerdeführenden haben im Verlauf des Verfahrens darauf verzichtet, eine Kostennote ihres Vertreters vorzulegen (Art. 14 Abs. 1 VGKE). Auf die Einforderung einer solchen kann verzichtet werden, zumal sich der notwendige Zeitaufwand mit hinreichender Genauigkeit abschätzen lässt (Art. 9 Abs. 1 Bst. a, Art. 10 Abs. 1 und Art. 14 Abs. 2 Satz 2 VGKE). Die Entschädigung ist deshalb aufgrund der Akten festzusetzen und auf insgesamt Fr. 1'000.- zu bemessen (Art. 10 Abs. 2 VGKE). Neben den Kosten der Vertretung machen die Beschwerdeführenden keine weiteren notwendigen Auslagen geltend (Art. 8 VGKE). Die ihnen vom BFM zu vergütende Parteientschädigung ist somit auf insgesamt Fr. 1'000.-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