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E-6298/2015 vom 22. Oktober 2015</w:t>
      </w:r>
    </w:p>
    <w:p>
      <w:r>
        <w:t>Bundesverwaltungsgericht, 2015-10-22, FR</w:t>
      </w:r>
    </w:p>
    <w:p>
      <w:r>
        <w:rPr>
          <w:b/>
        </w:rPr>
        <w:t xml:space="preserve">Quelle: </w:t>
      </w:r>
      <w:r>
        <w:t>https://mcp.opencaselaw.ch/entscheid/bvger_E-6298_2015</w:t>
      </w:r>
    </w:p>
    <w:p>
      <w:r>
        <w:t>FR: TAF E-6298/2015 du 22 octobre 2015</w:t>
      </w:r>
    </w:p>
    <w:p>
      <w:r>
        <w:t>IT: TAF E-6298/2015 del 22 ottobre 2015</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agir (art. 48 al. 1 PA). Déposé en temps utile (art. 108 al. 1 LAsi) et remplissant les exigences formelles (art. 52 al. 1 PA),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w:t>
      </w:r>
    </w:p>
    <w:p>
      <w:r>
        <w:t>La recourante n'a pas recouru contre la décision du SEM en tant qu'elle rejette sa demande d'asile et prononce son renvoi, de sorte que, sous ces angles, elle a acquis force de chose décidée.</w:t>
      </w:r>
    </w:p>
    <w:p>
      <w:r>
        <w:rPr>
          <w:b/>
        </w:rPr>
        <w:t>E. 3</w:t>
      </w:r>
    </w:p>
    <w:p>
      <w:r>
        <w:t>L'exécution du renvoi est ordonnée si elle est licite, raisonnablement exigible et possible. Si ces conditions ne sont pas réunies, l'admission provisoire doit être prononcée. Celle-ci est réglée par l'art. 83 LEtr (RS 142.20).</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Dans la mesure où la recourante n'a pas remis en cause le rejet de sa demande d'asile, le principe de non-refoulement ancré à l'art. 5 LAsi, qui reprend en droit interne le principe du non-refoulement énoncé expressément à l'art. 33 de la convention du 28 juillet 1951 relative au statut des réfugiés (Conv. réfugiés, RS 0.142.30), ne trouve pas directement application. Pour la même raison, elle n'a pas non plus rendu crédible qu'il existerait pour elle un véritable risque concret et sérieux d'être victime, en cas de retour dans son pays d'origine, de traitements inhumains ou dégradants (cf. art. 3 CEDH et art. 3 Conv. torture). Au demeurant, le rapport d'Amnesty International joint au recours est de nature générale et ne la mentionne pas personnellement.</w:t>
      </w:r>
    </w:p>
    <w:p>
      <w:r>
        <w:rPr>
          <w:b/>
        </w:rPr>
        <w:t>E. 3.3</w:t>
      </w:r>
    </w:p>
    <w:p>
      <w:r>
        <w:t>Dès lors, l'exécution du renvoi de la recourante ne transgresse aucun engagement de la Suisse relevant du droit international, de sorte qu'elle s'avère licite (art. 44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4.2</w:t>
      </w:r>
    </w:p>
    <w:p>
      <w:r>
        <w:t>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 2009/2 consid. 9.3.2 ; JICRA 2003 n° 24 consid. 5b p. 157 s. et doctrine citée).</w:t>
      </w:r>
    </w:p>
    <w:p>
      <w:r>
        <w:rPr>
          <w:b/>
        </w:rPr>
        <w:t>E. 4.3.2</w:t>
      </w:r>
    </w:p>
    <w:p>
      <w:r>
        <w:t>En l'occurrence, il ressort des rapports médicaux produits que la recourante souffre d'un état de stress post-traumatique (CIM-10 F43.1). Le SEM a retenu, manifestement par inadvertance, qu'elle pouvait être traitée en Tunisie. Force est toutefois de constater que le Maroc dispose de 80 institutions proposant un suivi psychiatrique ambulatoire (cf. OMS, Mental Health Atlas 2011: country profile Morocco, p. 2), où l'intéressée pourra être prise en charge. Par ailleurs, les médicaments actuellement administrés à la recourante sont disponibles au Maroc, au moins sous forme générique (&lt; http://medicament.ma/medicament/ &gt;, consulté le 16.10.2015). Quant au financement des soins médicaux, il convient de relever qu'outre l'Assurance-maladie obligatoire de base (AMO) - dont bénéficient les personnes exerçant une activité lucrative, les titulaires de pension, ou les étudiants -, le Maroc a instauré ces dernières années un nouveau régime de couverture médicale de base : le Régime d'assistance médicale (RAMED). Il s'agit d'une couverture médicale de base au profit des personnes démunies offrant la gratuité des soins et des prestations médicalement disponibles dans les hôpitaux publics, les centres de santé et les services sanitaires relevant de l'Etat (cf. &lt; www.ramed.ma &gt; ; SEM, Focus Marokko : Gesundheitsversorgung, 25 février 2015, p. 28 ss, publié in : www.bfm.admin.ch &gt; Affaires internationales &gt; Informations sur les pays d'origine &gt; Maroc &gt; Gesundheitsversorgung (25.02.15), consulté le 16.10.2015). Si les prestations médicales disponibles au Maroc ne correspondent certes pas au standard élevé de qualité prévalant en Suisse et que l'article produit par l'intéressée à l'appui de son recours met le doigt sur certaines failles du système de santé marocain, il n'en demeure pas moins que son traitement médical pourra y être poursuivi.</w:t>
      </w:r>
    </w:p>
    <w:p>
      <w:r>
        <w:rPr>
          <w:b/>
        </w:rPr>
        <w:t>E. 4.3.3</w:t>
      </w:r>
    </w:p>
    <w:p>
      <w:r>
        <w:t>A cela s'ajoute que l'intéressée pourra solliciter du SEM, en cas de besoin, une aide au retour pour motifs médicaux (art. 93 LAsi et 73 ss de l'ordonnance 2 du 11 août 1999 sur l'asile relativement au financement [OA 2, RS 142.312]) et emporter avec elle une réserve de médicaments pour surmonter la période délicate postérieure à son arrivée au pays.</w:t>
      </w:r>
    </w:p>
    <w:p>
      <w:r>
        <w:rPr>
          <w:b/>
        </w:rPr>
        <w:t>E. 4.3.4</w:t>
      </w:r>
    </w:p>
    <w:p>
      <w:r>
        <w:t>Ainsi, l'état de santé de la recourante ne rend pas l'exécution de son renvoi inexigible en ce sens qu'il se dégraderait très rapidement au point de conduire, de manière certaine, à une mise en danger concrète de son intégrité physique.</w:t>
      </w:r>
    </w:p>
    <w:p>
      <w:r>
        <w:rPr>
          <w:b/>
        </w:rPr>
        <w:t>E. 4.4</w:t>
      </w:r>
    </w:p>
    <w:p>
      <w:r>
        <w:t>L'intéressée fait encore valoir l'absence d'un réseau familial et social au Maroc. Cet argument n'est pas de nature à rendre inexigible l'exécution de son renvoi. Le Tribunal relève que l'intéressée dispose d'une expérience professionnelle comme coiffeuse et couturière ; malgré des périodes de chômage, elle a exercé un emploi jusqu'à son départ du Maroc (cf. pv de l'audition sur les motifs, Q34 ss). En outre, son enfant B._______ est déjà adolescent. Ainsi, un retour au Maroc, où elle a passé l'essentiel de son existence, ne devrait pas l'exposer à des difficultés insurmontables. En outre, la recourante a des frères et soeurs au Maroc, qui pourront à tout le moins lui offrir un soutien moral, si ce n'est financier. Cet élément n'étant, en tant que tel, pas déterminant, il n'y a pas lieu d'examiner plus avant l'intensité des liens que l'intéressée entretient avec sa famille résidant au Maroc.</w:t>
      </w:r>
    </w:p>
    <w:p>
      <w:r>
        <w:rPr>
          <w:b/>
        </w:rPr>
        <w:t>E. 4.5</w:t>
      </w:r>
    </w:p>
    <w:p>
      <w:r>
        <w:t>Au vu de ce qui précède, l'exécution du renvoi doit être considérée comme raisonnablement exigible.</w:t>
      </w:r>
    </w:p>
    <w:p>
      <w:r>
        <w:rPr>
          <w:b/>
        </w:rPr>
        <w:t>E. 5</w:t>
      </w:r>
    </w:p>
    <w:p>
      <w:r>
        <w:t>La recourante est en possession d'un passeport marocain échu le (...). Elle est en mesure d'entreprendre toute démarche nécessaire auprès de la représentation de son pays d'origine en vue de le renouveler ou d'obtenir un document de voyage de remplacement. B._______ est pour sa part en possession d'un passeport marocain en cours de validité. L'exécution du renvoi ne se heurte donc pas à des obstacles insurmontables d'ordre technique et s'avère également possible (cf. ATAF 2008/34 consid. 12).</w:t>
      </w:r>
    </w:p>
    <w:p>
      <w:r>
        <w:rPr>
          <w:b/>
        </w:rPr>
        <w:t>E. 6</w:t>
      </w:r>
    </w:p>
    <w:p>
      <w:r>
        <w:t>Au vu de ce qui précède, le recours doit être rejeté et la décision querellée confirmée.</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LAsi).</w:t>
      </w:r>
    </w:p>
    <w:p>
      <w:r>
        <w:rPr>
          <w:b/>
        </w:rPr>
        <w:t>E. 8.1</w:t>
      </w:r>
    </w:p>
    <w:p>
      <w:r>
        <w:t>Les conclusions du recours étant d'emblée vouées à l'échec, la demande d'assistance judiciaire partielle est rejetée (cf. art. 65 al. 1 PA).</w:t>
      </w:r>
    </w:p>
    <w:p>
      <w:r>
        <w:rPr>
          <w:b/>
        </w:rPr>
        <w:t>E. 8.2</w:t>
      </w:r>
    </w:p>
    <w:p>
      <w:r>
        <w:t>Au vu de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Dans la mesure où il a été immédiatement statué sur le fond, la requête tendant à la dispense de l'avance de frais est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