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E-6292/2014 vom 18. November 2014</w:t>
      </w:r>
    </w:p>
    <w:p>
      <w:r>
        <w:t>Bundesverwaltungsgericht, 2014-11-18, DE</w:t>
      </w:r>
    </w:p>
    <w:p>
      <w:r>
        <w:rPr>
          <w:b/>
        </w:rPr>
        <w:t xml:space="preserve">Quelle: </w:t>
      </w:r>
      <w:r>
        <w:t>https://mcp.opencaselaw.ch/entscheid/bvger_E-6292_2014</w:t>
      </w:r>
    </w:p>
    <w:p>
      <w:r>
        <w:t>FR: TAF E-6292/2014 du 18 novembre 2014</w:t>
      </w:r>
    </w:p>
    <w:p>
      <w:r>
        <w:t>IT: TAF E-6292/2014 del 18 novembre 2014</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Vorinstanz hat der vorliegenden Beschwerde die aufschiebende Wirkung nicht entzogen. Der entsprechende Antrag auf Wiederherstellung der aufschiebenden Wirkung ist deshalb gegenstandslos. Ebenfalls gegenstandslos ist der Antrag, es sei festzustellen, dass der Vollzug der Wegweisung unzulässig, unzumutbar und unmöglich sei und die vorläufige Aufnahme anzuordnen. Die drei Bedingungen für einen Verzicht auf den Vollzug sind alternativer Natur. Sobald eine von ihnen erfüllt ist, ist der Vollzug undurchführbar (vgl. BVGE 2009/51 E. 5.4). Mit Verfügung vom 30. September 2014 hat die Vorinstanz bereits die Undurchführbarkeit des Vollzugs der Wegweisung festgestellt und die vorläufige Aufnahme angeordnet.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5.1</w:t>
      </w:r>
    </w:p>
    <w:p>
      <w:r>
        <w:t>Die Vorinstanz lehnt das Asylgesuch ab, da die Vorbringen des Beschwerdeführers weder den Anforderungen an das Glaubhaftmachen gemäss Art. 7 AsylG noch denjenigen an die Flüchtlingseigenschaft gemäss Art. 3 AsylG standhalten. Der Beschwerdeführer habe in wesentlichen Punkten der Asylbegründung unvereinbar ausgesagt. Gemäss Akten habe er Syrien legal verlassen. Es sei daher wenig wahrscheinlich, dass er aufgefordert worden sei, in die Armee einzurücken. Diesbezüglich habe er denn auch keine detaillierten Angaben machen können. Da er militärisch nicht ausgehoben worden sei, besitze er kein Militärbüchlein und sei deshalb nicht im Register vermerkt. Es sei daher wenig wahrscheinlich, dass er nun von der Armee aufgeboten werde. Sodann stelle die blosse Verpflichtung zum Militärdienst keine asylrelevante Verfolgung dar. Weiter hält die Vorinstanz zu Art. 3 AsylG fest, bei den geltend gemachten zwei Inhaftierungen handle es sich nicht um gezielte Verfolgung, sondern vielmehr um zufällige Kontrollen der entsprechenden Gruppierung. Schliesslich seien die Mitgefangenen aus anderen Gründen inhaftiert gewesen und die Aussagen zur Entführung seien vage und nicht detailliert.</w:t>
      </w:r>
    </w:p>
    <w:p>
      <w:r>
        <w:rPr>
          <w:b/>
        </w:rPr>
        <w:t>E. 5.2</w:t>
      </w:r>
    </w:p>
    <w:p>
      <w:r>
        <w:t>Weder der vorinstanzliche Schluss, die Vorinstanz habe zu Unrecht auf Unglaubhaftigkeit der Vorbringen geschlossen, noch der Schluss, sie habe den Beschwerdeführer zu Unrecht nicht als Flüchtling anerkannt, sind zu beanstanden. In der angefochtenen Verfügung wird in nachvollziehbarer Wiese dargelegt, weshalb der Beschwerdeführer die entsprechenden Voraussetzungen nicht erfüllt. Was in der Rechtsmitteleingabe dagegen vorgebracht wird, ist nicht geeignet, einen anderen Schluss zu ziehen. Namentlich legt der Beschwerdeführer mit dem Wiederholen des aktenkundigen Sachverhalts und allgemeinen Ausführungen zur Situation in Syrien nicht dar, inwiefern die Vorinstanz den Massstab des Glaubhaftmachens nicht richtig angewendet beziehungsweise inwiefern sie zu Unrecht das Vorliegen der Flüchtlingseigenschaft verneint hat. Um Wiederholungen zu vermeiden, kann auf die zutreffenden Erwägungen in der angefochtenen Verfügung verwiesen werden. Soweit der Beschwerdeführer noch vorbringet, er möchte in der Schweiz eine bessere Aufenthaltsbewilligung, so sind die entsprechenden Ausführungen vorliegend unerheblich. Darauf ist nicht weiter einzugehen. Die Vorinstanz hat das Asylgesuch zu Recht abgelehnt.</w:t>
      </w:r>
    </w:p>
    <w:p>
      <w:r>
        <w:rPr>
          <w:b/>
        </w:rPr>
        <w:t>E. 6.1</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6.2</w:t>
      </w:r>
    </w:p>
    <w:p>
      <w:r>
        <w:t>Der Vollzug der Wegweisung wurde zugunsten einer vorläufigen Aufnahme des Beschwerdeführers aufgeschoben. Da die Wegweisungsvollzugshindernisse wie vorstehend bereits ausgeführt alternativer Natur sind (vgl. Ziff. 3),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und den rechtserhebliche Sachverhalt richtig und vollständig feststellt (Art. 106 Abs. 1AsylG). Die Beschwerde ist abzuweisen. Damit sind der Antrag betreffend Kontaktaufnahme mit den Behörden des Heimatlandes und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8.2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