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E-6289/2018 vom 1. April 2021</w:t>
      </w:r>
    </w:p>
    <w:p>
      <w:r>
        <w:t>Bundesverwaltungsgericht, 2021-04-01, FR</w:t>
      </w:r>
    </w:p>
    <w:p>
      <w:r>
        <w:rPr>
          <w:b/>
        </w:rPr>
        <w:t xml:space="preserve">Quelle: </w:t>
      </w:r>
      <w:r>
        <w:t>https://mcp.opencaselaw.ch/entscheid/bvger_E-6289_2018</w:t>
      </w:r>
    </w:p>
    <w:p>
      <w:r>
        <w:t>FR: TAF E-6289/2018 du 1 avril 2021</w:t>
      </w:r>
    </w:p>
    <w:p>
      <w:r>
        <w:t>IT: TAF E-6289/2018 del 1 aprile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sauf l'exception visée à l'art. 83 let. d ch. 1 de la loi sur le Tribunal fédéral (LTF, RS 173.110), non réalisée en l'espèce, statue définitivement.</w:t>
      </w:r>
    </w:p>
    <w:p>
      <w:r>
        <w:rPr>
          <w:b/>
        </w:rPr>
        <w:t>E. 1.2</w:t>
      </w:r>
    </w:p>
    <w:p>
      <w:r>
        <w:t>La présente procédure est soumise à l'ancien droit (cf. dispositions transitoires de la modification du 25 septembre 2015, al. 1).</w:t>
      </w:r>
    </w:p>
    <w:p>
      <w:r>
        <w:rPr>
          <w:b/>
        </w:rPr>
        <w:t>E. 1.3</w:t>
      </w:r>
    </w:p>
    <w:p>
      <w:r>
        <w:t>Le recourant a qualité pour recourir (cf. art. 48 al. 1 PA, applicable par renvoi de l'art. 37 LTAF). Présenté dans la forme (cf. art. 52 PA al. 1 PA par renvoi de l'art. 6 LAsi) et dans le délai (cf.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y a lieu de se pencher sur les motifs d'asile allégués par l'intéressé dans sa troisième demande d'asile. Pour l'essentiel, ceux-ci ne se distinguent pas fondamentalement de ceux examinés précédemment. Notamment, lors de sa seconde demande d'asile, le recourant avait déjà fait valoir son activisme politique en Suisse, en particulier sa participation à des manifestations en Suisse. Il avait également produit des documents, émanant notamment d'un parlementaire sri-lankais ou d'un membre du Conseil de la (...). A l'instar du SEM, le Tribunal avait alors écarté ces documents et conclu à l'absence d'un risque de persécution du recourant à son retour au Sri Lanka. C'est donc dans ce contexte que doivent être examinés les nouvelles pièces produites. Comme souligné à raison par le recourant, le SEM ne pouvait en effet les écarter aux seuls motifs qu'il s'agirait là de documents aisément falsifiables ou pouvant être facilement obtenus par corruption. En revanche, il était en droit d'en déterminer la valeur probante en les confrontant aux autres éléments du dossier, y compris à ceux ressortant des procédures précédentes.</w:t>
      </w:r>
    </w:p>
    <w:p>
      <w:r>
        <w:rPr>
          <w:b/>
        </w:rPr>
        <w:t>E. 3.2</w:t>
      </w:r>
    </w:p>
    <w:p>
      <w:r>
        <w:t>Ainsi, mis à part les témoignages écrits d'un membre du Conseil de la (...) établis à la demande du père du recourant, il ne figure pas d'indication au dossier sur le biais par lequel celui-ci aurait obtenu les moyens qu'il a produits. Les mains courantes (« information book ») produites ont un contenu a priori controuvé. Vagues et manifestement rédigées de manière à appuyer les dires du recourant, elles apparaissent douteuses. Les communications (« message form ») du TID de (...) 2018 et de (...) 2020 ne laissent pas non plus d'intriguer. Leur contenu revêt en effet la forme de convocations dans les locaux de cette division à E._______, adressées au recourant tandis que leur intitulé fait plutôt penser à une communication interne entre le TID de E._______ et celui de F._______, auquel cas on se demande comment le recourant a pu les obtenir. Par ailleurs, les supports de ces communications ont, à l'évidence, été scannés ou photocopiés. A l'instar du recourant, le Tribunal n'exclut pas que les autorités de police sri-lankaises puissent copier leurs formulaires, encore que cela paraisse plutôt improbable. Il n'en reste pas moins que des supports de ce genre sont aisément disponibles et falsifiables à souhait, ce qui a pour effet d'amoindrir considérablement la valeur probante des communications du TID. Dessert aussi la valeur probante des moyens du recourant le fait que leurs contenus divergent. Il ressort ainsi des communications du TID de (...) 2018 et de (...) 2020 que le recourant a simplement été convoqué dans les locaux de cet organisme à E._______. Dans son témoignage du (...) 2018, le membre du Conseil de la (...) dit, par contre, du recourant qu'il fait à la fois l'objet d'un avis de recherche et de ce qui semble être un mandat d'amener dans son pays (« A._______. is under search and A-wanted person in Sri Lanka »). De fait, on ne convoque pas un fuyard au poste de police ; les autorités de police saisissent plutôt un magistrat pour qu'il établisse un mandat d'arrêt ou un mandat d'amener et lance un avis de recherche. Ceci dit, les convocations du TID sont, en elles-mêmes, également sujettes à caution en raison de leur teneur. En effet, si le recourant était suspecté d'entretenir des liens avec des organisations terroristes depuis près de quatre ans, comme cela figure dans la communication de (...) 2020, le TID, pour des raisons évidentes, ne l'aurait pas mentionné expressis verbis dans sa convocation de (...) 2020 et le recourant n'aurait assurément pas été convoqué dans ses locaux mais aurait été activement recherché. Cette incohérence et les divergences précédemment soulignées amènent le Tribunal à ne pas tenir pour authentiques les communications du TID et à voir des attestations de complaisance dans celles de l'élu au Conseil de la (...). La lettre du (...) 2018 (jointe à la demande d'asile) prétendument adressée par la police au père de l'intéressé apparaît, quant à elle, comme un montage grossier en raison de la superposition, évidente, d'un premier document à l'entête de la police sur une feuille neutre. Son contenu, dans lequel la police annonce ses intentions, est lui des plus inattendus. Quant aux activités, en Suisse, du recourant en faveur de l' « Eelam » tamoul, il y a lieu de souligner qu'elles n'ont jamais dépassé le stade d'une participation aux commémorations de « la journée des Martyrs » en novembre de chaque année, des célébrations qui ont d'ailleurs aussi lieu au Sri Lanka. Il n'est en outre pas démontré que le recourant y aurait tenu un rôle déterminant dans leur organisation ni qu'il s'y serait fait remarquer en s'en prenant ouvertement aux autorités de son pays. Dès lors, il apparaît hautement improbable qu'il soit recherché pour ce motif dans son pays. Enfin, le dépôt d'une main courante est une déclaration purement informative qui peut certes constituer un début de preuve mais qui ne suffit pas à rendre vraisemblables les propos du déclarant. Il ressort en outre de l'extrait du (...) 2019 que les agresseurs du frère du recourant auraient été des particuliers désireux d'en découdre avec le recourant sur fond d'une vielle querelle remontant à ses années (...) (cf. arrêtE-7351/2016 ch. 4) et non des agents de l'Etat sri-lankais à sa recherche.</w:t>
      </w:r>
    </w:p>
    <w:p>
      <w:r>
        <w:rPr>
          <w:b/>
        </w:rPr>
        <w:t>E. 3.3</w:t>
      </w:r>
    </w:p>
    <w:p>
      <w:r>
        <w:t>A l'appui de ses craintes, le recourant se prévaut également d'une interpellation, en sa faveur, de l'ACAT-Suisse. Selon celle-ci, il risquerait de manière non-négligeable la torture ou d'autres mauvais traitements dans son pays, un constat fondé principalement sur les rapports de situation d'organisations non-gouvernementales (ONG) cités dans l'interpellation et sur le sort réservé à huit ressortissants sri-lankais d'ethnie tamoule arrêtés, détenus et torturés à leur retour de l'étranger pour avoir soutenu, même faiblement, à l'instar du recourant, les combattants du mouvement séparatiste tamoul des « Liberation Tigers of the Eelam » (LTTE) pendant la guerre. Autant les rapports attestant d'arrestations de requérants d'asile tamouls à leur retour au Sri Lanka que ceux dénonçant la torture dans ce pays auxquels renvoie l'ACAT-Suisse, dans son interpellation, sont des documents de portée générale qui ne concernent pas directement et personnellement le recourant. De plus, dans son arrêt de référenceE-1866/2015 du 15 juillet 2016, le Tribunal a tenu compte des problématiques évoquées dans ces documents. La dernière actualisation de la situation au Sri Lanka n'y apporte pas de changement fondamental qui démontrerait que l'analyse alors entreprise serait aujourd'hui dépassée. Dès lors, les rapports cités par l'ACAT-Suisse ne sont pas, en tant que tels, déterminants dans l'examen du cas d'espèce. Enfin, les analogies qui existeraient entre la situation du recourant et celle de ses compatriotes auxquels se réfèrent l'ACAT-Suisse ne sont pas suffisamment spécifiées pour qu'on puisse en tirer des conclusions définitives. De fait, des caractéristiques communes, comme l'extraction ou la provenance d'un individu ou même un engagement de faible ampleur du côté des LTTE pendant la guerre, ne supposent pas forcément un vécu et des situations personnelles identiques.</w:t>
      </w:r>
    </w:p>
    <w:p>
      <w:r>
        <w:rPr>
          <w:b/>
        </w:rPr>
        <w:t>E. 3.4</w:t>
      </w:r>
    </w:p>
    <w:p>
      <w:r>
        <w:t>Dans ces conditions, et dès lors que le recourant a quitté légalement le Sri Lanka, qu'il n'a jamais combattu dans les rangs des LTTE ni rendu vraisemblable qu'il était recherché par les autorités de police de son pays et qu'il n'a jamais tenu de rôle déterminant ni dans l'élaboration ni dans le déroulement des manifestations (notamment « le Jour des martyrs » à la fin novembre de chaque année) organisées par la communauté tamoule de Suisse auxquelles il a participé, il n'y a pas lieu d'admettre que son nom figurerait sur une "Stop List" ou une "Watch List" où sont répertoriées les identités des personnes ayant eu des liens avec le mouvement séparatiste et qu'utilisent les autorités sri-lankaises à l'aéroport de E._______, (cf. arrêt de référence E-1866/2015 du 15 juillet 2016 consid. 8.4.3 et 8.5.2). Ainsi, en l'absence de facteurs à risque particuliers, l'extraction tamoule du recourant, la durée de son séjour à l'étranger et d'éventuels interrogatoires à son retour au Sri Lanka en cas d'un possible renvoi forcé ne sont pas non plus de nature à fonder une crainte objective de sérieux préjudices au sens de l'art. 3 al. 1 et 2 LAsi (cf. E-1866/2015 précité consid. 8.4.6, 8.5.5, 8.5.6 et 9.2.4).</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 recourant n'a pas établi qu'il risquait de subir de sérieux préjudices, au sens de l'art. 3 LAsi, dans son pays ;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pas rendu vraisemblable qu'il serait effectivement en danger en cas de retour au Sri Lanka, il n'y a pas lieu de considérer qu'il existe pour lui un véritable risque concret et sérieux d'être victime de tortures, ou de traitements inhumains ou dégradants en cas de renvoi dans son pays.</w:t>
      </w:r>
    </w:p>
    <w:p>
      <w:r>
        <w:rPr>
          <w:b/>
        </w:rPr>
        <w:t>E. 5.4</w:t>
      </w:r>
    </w:p>
    <w:p>
      <w:r>
        <w:t>Dès lors, l'exécution de son renvoi sous forme de refoulement ne transgresse aucun engagement de la Suisse relevant du droit international, de sorte qu'elle s'avère licite (art. 44 LAsi et art. 83 al. 3 LEtr).</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6.2</w:t>
      </w:r>
    </w:p>
    <w:p>
      <w:r>
        <w:t>Il est notoire que depuis la fin de la guerre contre les LTTE, en mai 2009, le Sri Lanka ne connaît plus de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6.3</w:t>
      </w:r>
    </w:p>
    <w:p>
      <w:r>
        <w:t>Le caractère raisonnablement exigible d'un renvoi s'apprécie au regard de la situation qui prévaut dans le pays de renvoi et de celle du recourant à son retour et non pas de ce qu'il lui en coûterait de devoir quitter la Suisse, sauf à admettre que cela l'exposerait à une mise en danger et ne pourrait être exigé de sa part. En l'espèce, le recourant dit avoir quitté son pays en 2005. Il aurait passé les dix années suivantes au G._______ en tant que travailleur immigré. Depuis juin 2015, il se trouve en Suisse. Vu l'écoulement du temps, Il redoute de ne plus pouvoir se réintégrer au Sri Lanka. En dépit des conditions de vie généralement difficiles dans le Nord du Sri Lanka, il doit être admis que son retour à F._______, sa région d'origine, est raisonnablement exigible. Il ne ressort en effet de son dossier aucun élément dont on pourrait inférer une mise en danger concrète en cas de renvoi au Sri Lanka. A ce sujet, le Tribunal ne peut que renvoyer à ce qu'il avait déjà dit dans son arrêt D-7351/2016 du 21 juillet 2017 s'agissant des compétences de l'intéressé, de son aptitude à travailler pour subvenir à ses besoins et des soutiens qu'il peut escompter à son retour chez lui. Enfin, celui-ci n'a pas documenté de problèmes médicaux de nature à faire obstacle à l'exécution de son renvoi. Dans ce contexte, sa relativement longue présence en Suisse ne saurait rendre inexigible l'exécution de son renvoi.</w:t>
      </w:r>
    </w:p>
    <w:p>
      <w:r>
        <w:rPr>
          <w:b/>
        </w:rPr>
        <w:t>E. 6.4</w:t>
      </w:r>
    </w:p>
    <w:p>
      <w:r>
        <w:t>Pour ces motifs, l'exécution du renvoi doit être considérée comme raisonnablement exigible et le recours également rejeté sur ce point.</w:t>
      </w:r>
    </w:p>
    <w:p>
      <w:r>
        <w:rPr>
          <w:b/>
        </w:rPr>
        <w:t>E. 7.1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7.2</w:t>
      </w:r>
    </w:p>
    <w:p>
      <w:r>
        <w:t>La situation actuelle liée à la propagation du Covid-19 dans le monde ne justifie pas de surseoir au présent prononcé. Il doit toutefois en être tenu compte, l'exécution du renvoi ne pouvant avoir lieu que lorsqu'eile sera conforme aux plans de sécurité sanitaires décidés par les Etats concernés.</w:t>
      </w:r>
    </w:p>
    <w:p>
      <w:r>
        <w:rPr>
          <w:b/>
        </w:rPr>
        <w:t>E. 8</w:t>
      </w:r>
    </w:p>
    <w:p>
      <w:r>
        <w:t>Cela étant, l'exécution du renvoi doit être déclarée conforme aux dispositions légales.</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 recours n'ayant pas été d'emblée voué à l'échec, et l'intéressé étant indigent, l'assistance judiciaire partielle, requise au moment du dépôt du recours, lui est octroyée de sorte qu'il n'est pas perçu de frais.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