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E-6288/2020 vom 18. Dezember 2020</w:t>
      </w:r>
    </w:p>
    <w:p>
      <w:r>
        <w:t>Bundesverwaltungsgericht, 2020-12-18, DE</w:t>
      </w:r>
    </w:p>
    <w:p>
      <w:r>
        <w:rPr>
          <w:b/>
        </w:rPr>
        <w:t xml:space="preserve">Quelle: </w:t>
      </w:r>
      <w:r>
        <w:t>https://mcp.opencaselaw.ch/entscheid/bvger_E-6288_2020</w:t>
      </w:r>
    </w:p>
    <w:p>
      <w:r>
        <w:t>FR: TAF E-6288/2020 du 18 décembre 2020</w:t>
      </w:r>
    </w:p>
    <w:p>
      <w:r>
        <w:t>IT: TAF E-6288/2020 del 18 dicembre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Den vorliegenden Akten ist zu entnehmen, dass der Beschwerdeführer am 31. Juli 2020 in Italien illegal in das Hoheitsgebiet der Dublin-Staaten einreiste, weshalb das SEM am 25. September 2020 Italien um Übernahme des Beschwerdeführers gemäss Art. 13 Abs. 1 Bst. b Dublin-III-VO ersuchte. Die italienischen Behörden liessen das Übernahmeersuchen innert der in Art. 25 Abs. 1 Dublin-III-VO vorgesehenen Frist unbeantwortet, womit sie die Zuständigkeit Italiens implizit anerkannten (Art. 25 Abs. 2 Dublin-III-VO). Die grundsätzliche Zuständigkeit Italiens - welche mit dem blossen Hinweis in der Beschwerde, wonach Italien dem Übernahmeersuchen nicht zugestimmt habe - auch auf Beschwerdeebene nicht in substanzieller Weise in Frage gestellt wird - ist somit gegeben.</w:t>
      </w:r>
    </w:p>
    <w:p>
      <w:r>
        <w:rPr>
          <w:b/>
        </w:rPr>
        <w:t>E. 5.1</w:t>
      </w:r>
    </w:p>
    <w:p>
      <w:r>
        <w:t>Die Vorinstanz führte bezüglich der geltend gemachten schwierigen Lebensbedingungen und der fehlenden Zukunftsperspektiven in Italien im Wesentlichen aus, dass der geäusserte Wunsch nach einem weiteren Verbleib in der Schweiz keinen Einfluss auf die Bestimmung des für ihn zuständigen Dublin-Staates habe. Es lägen auch keine konkreten Anhaltspunkte dafür vor, dass sich Italien nicht an seine völkerrechtlichen Verpflichtungen halten und das Asyl- und Wegweisungsverfahren nicht korrekt durchführen würde. Es gebe auch keine systemischen Mängel im Asyl- und Aufnahmesystem Italiens. Im Weiteren habe Italien die Richtlinien 2013/32/EU (Verfahrensrichtlinie), 2011/95/EU (Qualifikationsrichtlinie) und 2013/33/EU (Aufnahmerichtlinie) umgesetzt. Er könne sich daher an die zuständigen italienischen Behörden wenden, um eine Unterkunft und sozialstaatliche Unterstützung zu erhalten. Auch könne er zusätzlich bei einer der in Italien zahlreich vorhandenen karitativen Organisation um Hilfe ersuchen. Italien könne zudem angemessene medizinische Versorgungsleistungen erbringen und der Zugang zu notwendiger medizinischer Behandlung sei gewährleistet. Es lägen keine Hinweise vor, wonach Italien dem Beschwerdeführer eine medizinische Behandlung verweigert hätte oder künftig verweigern würde. Es bestünden somit keine Gründe, welche die Anwendung der Souveränitätsklausel der Schweiz rechtfertigten.</w:t>
      </w:r>
    </w:p>
    <w:p>
      <w:r>
        <w:rPr>
          <w:b/>
        </w:rPr>
        <w:t>E. 5.2</w:t>
      </w:r>
    </w:p>
    <w:p>
      <w:r>
        <w:t>Der Beschwerdeführer bringt gegen seine Überstellung nach Italien vor, bei seiner Ankunft in Italien habe er den dortigen Behörden mitgeteilt, in Italien kein Asylgesuch stellen zu wollen, sondern vielmehr in der Schweiz. Nach Beendigung der Quarantäne habe er am 15. September 2020 Italien legal verlassen beziehungsweise sei von den italienischen Behörden ausgewiesen worden. Nach der beiliegenden Verfügung der italienischen Behörden dürfe er drei Jahre nicht nach Italien zurückkehren (Androhung einer Gefängnis- und Geldstrafe bei Missachtung dieser Anordnung). Dieses Dokument, das er bereits seiner Rechtsvertretung zugestellt habe (vgl. Schreiben per Mail der Rechtsvertretung vom 29. Oktober 2020) sei vom SEM bei der Entscheidfindung nicht berücksichtigt worden, weshalb der Sachverhalt nicht vollständig festgestellt und die Verfügung nicht vollumfänglich begründet worden sei. Im Weiteren habe er das Camp in Italien für mehr als 72 Stunden freiwillig verlassen, womit er nach dem italienischen Gesetz das Recht auf Unterkunft in Italien verloren habe. Das SEM solle angewiesen werden, bei den italienischen Behörden eine individuelle Garantieerklärung einzuholen.</w:t>
      </w:r>
    </w:p>
    <w:p>
      <w:r>
        <w:rPr>
          <w:b/>
        </w:rPr>
        <w:t>E. 6.1</w:t>
      </w:r>
    </w:p>
    <w:p>
      <w:r>
        <w:t>Die Rügen in der Beschwerde, wonach das SEM das mit der Beschwerde eingereichte Dokument der italienischen Behörden («Kopie der Ausweisung der italienischen Behörden») nicht berücksichtigt habe, weshalb eine unvollständige Sachverhaltsfeststellung und eine Verletzung der Begründungspflicht vorlägen, erweisen sich als unzutreffend, wurde dieses doch erst auf Beschwerdeebene erstmals eingereicht und war damit nicht Gegenstand des erstinstanzlichen Verfahrens. An dieser Einschätzung vermag die Tatsache, dass der Beschwerdeführer dieses Dokument offenbar während des vorinstanzlichen Verfahrens seiner damaligen Rechtsvertretung zukommen liess, nichts zu ändern. Dem Schreiben per Mail der damaligen Rechtsvertretung vom 29. Oktober 2020 an den Beschwerdeführer ist zu entnehmen, dass diese den Beschwerdeführer dazu aufforderte, genauere Angaben zum Inhalt dieses Dokuments zu machen, was der Beschwerdeführer offenbar unterliess. Jedenfalls wurde das Dokument in der Folge nicht an das SEM weitergeleitet.</w:t>
      </w:r>
    </w:p>
    <w:p>
      <w:r>
        <w:rPr>
          <w:b/>
        </w:rPr>
        <w:t>E. 6.2</w:t>
      </w:r>
    </w:p>
    <w:p>
      <w:r>
        <w:t>Hinsichtlich der Relevanz dieses Dokumentes ist festzuhalten, dass dieses lediglich in teils schwer lesbarer Form von Photographien vorliegt und damit von bloss geringer Beweiskraft ist. Aus dem Inhalt des auf den 7. September 2020 datierten Dokumentes ist ersichtlich, dass es sich offenbar um eine Anordnung des Polizeichefs von Crotone vom 9. September 2020 bezüglich eines Einreiseverbotes infolge illegaler Einreise handelt (Anwendung der Richtlinie 2008/115/EG des Europäischen Parlaments und des Rates vom 16. Dezember 2008 [Festlegung gemeinsamer Regeln und Verfahren für die Rückführung illegal lebender Drittstaatsangehöriger]). Diese Einschätzung wird durch die Tatsache bestätigt, dass gemäss SIS (Schengener Informationssystem) eine Person mit identischen Personalien von Italien nach Art. 24 (Einreiseverbot Schengenraum) ausgeschrieben wurde (vgl. 1075474-13/2). Diese Erkenntnisse decken sich somit mit den Angaben des Beschwerdeführers, wonach von den italienischen Behörden gegen ihn ein (dreijähriges) Einreiseverbot verhängt worden sei. Bei dieser Sachlage kann nicht ausgeschlossen werden, dass gegen den Beschwerdeführer wie behauptet ein Einreiseverbot besteht. Indessen steht ein solches der Rücküberstellung des Beschwerdeführers nach Italien praxisgemäss nicht entgegen (vgl. die Urteile des Bundesverwaltungsgerichts D-5837/2020; E-5652/2010; F-4030/2020; E-736/2018; D-716/2016). Aufgrund der implizit anerkannten Zuständigkeit zur Behandlung des Asylgesuches ist Italien zur Rückübernahme des Beschwerdeführers verpflichtet. Ein allfälliges Einreiseverbot stellt somit kein Wegweisungsvollzugshindernis dar.</w:t>
      </w:r>
    </w:p>
    <w:p>
      <w:r>
        <w:rPr>
          <w:b/>
        </w:rPr>
        <w:t>E. 6.3</w:t>
      </w:r>
    </w:p>
    <w:p>
      <w:r>
        <w:t>Im Weiteren macht der Beschwerdeführer in seiner Beschwerde geltend, bei einer Rückkehr nach Italien werde er keine Unterkunft erhalten, da er durch seine Ausreise das Recht auf eine solche eingebüsst habe. Daher sollte das SEM angewiesen werden, von den italienischen Behörden eine individuelle Garantieerklärung einzuholen, dass er bei einer Rückkehr eine Wohnmöglichkeit erhalte und nicht auf der Strasse leben müsse.</w:t>
      </w:r>
    </w:p>
    <w:p>
      <w:r>
        <w:rPr>
          <w:b/>
        </w:rPr>
        <w:t>E. 6.4</w:t>
      </w:r>
    </w:p>
    <w:p>
      <w:r>
        <w:t>Hierzu ist mit dem SEM festzuhalten, dass keine systemischen Mängel im Asyl- und Aufnahmesystem Italiens bestehen. Auch den Ausführungen des Beschwerdeführers anlässlich des rechtlichen Gehörs sowie in der Beschwerde lassen sich keine begründeten Hinweise auf das Vorliegen solcher Schwachstellen des italienischen Asylsystems entnehmen. Im Weiteren hat Italien die Richtlinien 2013/32/EU (Verfahrensrichtlinie), 2011/95/EU (Qualifikationsrichtlinie) und 2013/33/EU (Aufnahmerichtlinie) umgesetzt. Daher kann sich der Beschwerdeführer an die zuständigen italienischen Behörden wenden, um eine Unterkunft und sozialstaatliche Unterstützung zu erhalten. Im Übrigen gehört der Beschwerdeführer, der sich selbst als gesund bezeichnete, nicht zur Gruppe der besonders verletzlichen Personen im Sinne des Urteils E-962/2019 E. 7.4. Ein Selbsteintritt aus humanitären Gründen ist bei dieser Sachlage nicht angezeigt. Im Zusammenhang mit der Möglichkeit des humanitären Selbsteintritts gemäss Art. 17 Dublin-III-VO i.V.m. Art. 29a Abs. 3 AsylV 1 ist festzuhalten, dass das Bundesverwaltungsgericht in BVGE 2015/9 zum Schluss kam, dem Gericht komme im Rahmen der genannten Bestimmungen keine Beurteilungskompetenz in Bezug auf den Ermessensentscheid der Vorinstanz zu. Das Gericht greife nur dann ein, wenn das SEM das ihm eingeräumte Ermessen über- beziehungsweise unterschreite oder missbrauche und damit Bundesrecht verletze. Dies ist vorliegend nicht der Fall. Die Vorinstanz ist somit zutreffend von der Zuständigkeit Italiens ausgegangen und in Anwendung von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Bei dieser Sachlage ist auf den Antrag auf Anordnung der vorläufigen Aufnahme nicht einzutreten.</w:t>
      </w:r>
    </w:p>
    <w:p>
      <w:r>
        <w:rPr>
          <w:b/>
        </w:rPr>
        <w:t>E. 7</w:t>
      </w:r>
    </w:p>
    <w:p>
      <w:r>
        <w:t>Zusammenfassend verletzt die angefochtene Verfügung kein Bundesrecht und ist auch sonst nicht zu beanstanden (Art. 106 AsylG). Die Beschwerde ist abzuweisen. Mit vorliegendem Direktentscheid ist das Beschwerdeverfahren abgeschlossen, weshalb sich die Anträge um Gewährung der aufschiebenden Wirkung und um Verzicht auf das Erheben eines Kostenvorschusses als gegenstandslos erweisen.</w:t>
      </w:r>
    </w:p>
    <w:p>
      <w:r>
        <w:rPr>
          <w:b/>
        </w:rPr>
        <w:t>E. 8.1</w:t>
      </w:r>
    </w:p>
    <w:p>
      <w:r>
        <w:t>Aufgrund der Aussichtslosigkeit der Rechtsbegehren sind die Gesuche um unentgeltliche Prozessführung und amtliche Verbeiständung ungeachtet einer allfälligen prozessualen Bedürftigkeit abzuweisen.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