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E-6286/2024 vom 17. Dezember 2024</w:t>
      </w:r>
    </w:p>
    <w:p>
      <w:r>
        <w:t>Bundesverwaltungsgericht, 2024-12-17, FR</w:t>
      </w:r>
    </w:p>
    <w:p>
      <w:r>
        <w:rPr>
          <w:b/>
        </w:rPr>
        <w:t xml:space="preserve">Quelle: </w:t>
      </w:r>
      <w:r>
        <w:t>https://mcp.opencaselaw.ch/entscheid/bvger_E-6286_2024</w:t>
      </w:r>
    </w:p>
    <w:p>
      <w:r>
        <w:t>FR: TAF E-6286/2024 du 17 décembre 2024</w:t>
      </w:r>
    </w:p>
    <w:p>
      <w:r>
        <w:t>IT: TAF E-6286/2024 del 17 dicembre 2024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Il n'est pas alloué de dépens.</w:t>
      </w:r>
    </w:p>
    <w:p>
      <w:r>
        <w:rPr>
          <w:b/>
        </w:rPr>
        <w:t>E. 4</w:t>
      </w:r>
    </w:p>
    <w:p>
      <w:r>
        <w:t>Le présent arrêt est adressé au recourant, au SEM et à l'autorité cantonale. La présidente du collège : La greffière : Camilla Mariéthoz Wyssen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