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E-6282/2023 vom 11. März 2024</w:t>
      </w:r>
    </w:p>
    <w:p>
      <w:r>
        <w:t>Bundesverwaltungsgericht, 2024-03-11, DE</w:t>
      </w:r>
    </w:p>
    <w:p>
      <w:r>
        <w:rPr>
          <w:b/>
        </w:rPr>
        <w:t xml:space="preserve">Quelle: </w:t>
      </w:r>
      <w:r>
        <w:t>https://mcp.opencaselaw.ch/entscheid/bvger_E-6282_2023</w:t>
      </w:r>
    </w:p>
    <w:p>
      <w:r>
        <w:t>FR: TAF E-6282/2023 du 11 mars 2024</w:t>
      </w:r>
    </w:p>
    <w:p>
      <w:r>
        <w:t>IT: TAF E-6282/2023 del 11 marzo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Müller/Peter Bieri, in: Auer/Müller/Schindler [Hrsg.], Kommentar zum Bundesgesetz über das Verwaltungsverfahren [VwVG], 2. Aufl.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in der Schweiz am 10. November 2021 ein Asylgesuch eingereicht, über welches die Vorinstanz in Form einer anfechtbaren Verfügung zu befinden hat.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2</w:t>
      </w:r>
    </w:p>
    <w:p>
      <w:r>
        <w:t>Das Prüfungsergebnis beschränkt sich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beanstandet, dass er vor über 24 Monaten ein Asylgesuch gestellt habe. Dieses sei prioritär zu behandeln, da er dazumal ein unbegleiteter Minderjähriger gewesen sei und aufgrund seiner psychischen Beschwerden als vulnerable gelte. Auch seien keine anderen Gründe ersichtlich, die die vorliegende Verfahrensverzögerung zu erklären vermögen. Er habe im Verfahren drei Fotos von Personen und eines «seines Geburtsdatums» eingereicht, weshalb aufwändige Übersetzungsarbeiten oder Beweismittelabklärungen auszuschliessen seien. Seit der Zuteilung in das erweiterte Verfahren am 20. Dezember 2021 seien weder weitere ersichtliche Verfahrensschritte ergangen noch habe die Vorinstanz Auskunft über den Verfahrensstand erteilt, obwohl sie dazu achtmal aufgefordert worden sei. Der Beschwerdeführer sei seiner Mitwirkungspflicht stets nachgekommen. Er habe um die Ansetzung einer ergänzenden Anhörung gebeten, sollte eine solche noch notwendig sein. Jedoch sei auch dieses Ersuchen unbeantwortet geblieben. Angesichts der bald zweijährigen Untätigkeit habe die Vorinstanz das Asylgesuch nicht mit der notwendigen Beförderlichkeit behandelt. Es sei damit eine das Beschleunigungsgebot verletzende Rechtsverzögerung zu bejahen. Es sei daher festzustellen, dass das Verhalten der Vorinstanz eine Rechtsverzögerung im Sinne von Art. 46a VwVG darstelle. Die Vorinstanz sei anzuweisen, das Asylgesuch vom 10. November 2021 ohne weitere Verzögerung zu behandeln.</w:t>
      </w:r>
    </w:p>
    <w:p>
      <w:r>
        <w:rPr>
          <w:b/>
        </w:rPr>
        <w:t>E. 4.2</w:t>
      </w:r>
    </w:p>
    <w:p>
      <w:r>
        <w:t>Das Bundesverwaltungsgericht gelangt nach Prüfung der Akten zum Ergebnis, dass die Rechtsverzögerungsbeschwerde begründet ist. Das Asylverfahren des Beschwerdeführers war zum Zeitpunkt der Eingabe der Beschwerde seit rund 24 Monaten hängig. Soweit aus den Akten ersichtlich, sind nach der Verfügung vom 16. Dezember 2021 seitens der Vorinstanz keine verfahrensleitenden Handlungen und mit Blick auf die Entscheidfindung auch keine weiteren Abklärungen getätigt worden. Zu Recht weist der Beschwerdeführer in seiner Beschwerdeeingabe darauf hin, dass er zum Zeitpunkt der Asylgesuchstellung sowie der Zuweisung ins erweiterte Verfahren noch minderjährig war, weshalb die Vorinstanz gehalten gewesen wäre, sein Gesuch prioritär zu behandeln (Art. 17 Abs. 2bis AsylG). Dennoch war die Vorinstanz zum Zeitpunkt der Beschwerdeerhebung während annähernd 23 Monaten untätig geblieben und nahm keine weiteren Verfahrenshandlungen mehr vor. Zudem reagierte sie weder auf die Anfragen und Eingaben des Beschwerdeführers noch liess sie sich zur Beschwerde vernehmen. Es gilt an dieser Stelle anzumerken, dass weder das Fax vom 5. April 2022 noch die E-Mail vom 4. August 2023, welche beide der Beschwerdeschrift beilagen, sich in den vorinstanzlichen Akten finden lassen. Ob diese zwei Anfragen zum Verfahrensstand der Vorinstanz beziehungsweise der zuständigen Stelle schlussendlich zugegangen sind, kann vorliegend offenbleiben, da erwiesenermassen sämtliche anderen Anfragen seitens der Vorinstanz unbeantwortet geblieben sind. Mithin muss sich diese angesichts ihrer Untätigkeit vorhalten lassen, dass sie das Asylgesuch des Beschwerdeführers nicht mit der notwendigen Beförderlichkeit behandelt hat. Unter dem Blickwinkel von Art. 29 Abs. 1 BV ist damit eine das Beschleunigungsgebot verletzende Rechtsverzögerung zu bejahen.</w:t>
      </w:r>
    </w:p>
    <w:p>
      <w:r>
        <w:rPr>
          <w:b/>
        </w:rPr>
        <w:t>E. 5</w:t>
      </w:r>
    </w:p>
    <w:p>
      <w:r>
        <w:t>Aufgrund des Gesagten erweist sich die Rüge der Rechtsverzögerung als begründet, weshalb die Beschwerde gutzuheissen ist und die Vorinstanz aufzufordern ist, die Behandlung des Asylgesuchs des Beschwerdeführers zügig - das heisst unter Vermeidung weiterer Phasen der Nichtbearbeitung - fortzuführen und einer Verfügung zuzuführen.</w:t>
      </w:r>
    </w:p>
    <w:p>
      <w:r>
        <w:rPr>
          <w:b/>
        </w:rPr>
        <w:t>E. 6.1</w:t>
      </w:r>
    </w:p>
    <w:p>
      <w:r>
        <w:t>Bei diesem Ausgang des Verfahrens sind keine Verfahrenskosten zu erheben (Art. 63 Abs. 1 und 2 VwVG).</w:t>
      </w:r>
    </w:p>
    <w:p>
      <w:r>
        <w:rPr>
          <w:b/>
        </w:rPr>
        <w:t>E. 6.2</w:t>
      </w:r>
    </w:p>
    <w:p>
      <w:r>
        <w:t>Dem Beschwerdeführer ist aufgrund seines Obsiegens in Anwendung von Art. 64 Abs. 1 VwVG und Art. 7 Abs. 1 des Reglements vom 21. Februar 2008 über die Kosten und Entschädigungen vor dem Bundesverwaltungsgericht (VGKE, SR 173.320.2) eine Parteientschädigung für die ihm notwendigerweise erwachsenen Vertretungskosten im Beschwerdeverfahren zuzusprechen. Eine Kostennote wurde von Seiten der Rechtsvertretung nicht eingereicht, jedoch lässt sich der Vertretungsaufwand für das Beschwerdeverfahren aufgrund der Akten zuverlässig abschätzen. Unter Berücksichtigung der massgebenden Bemessungsfaktoren ist die von der Vorinstanz zu entrichtende Parteientschädigung auf insgesamt Fr. 825.- festzusetzen (Art. 9-11, 13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