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E-627/2013 vom 14. Februar 2013</w:t>
      </w:r>
    </w:p>
    <w:p>
      <w:r>
        <w:t>Bundesverwaltungsgericht, 2013-02-14, DE</w:t>
      </w:r>
    </w:p>
    <w:p>
      <w:r>
        <w:rPr>
          <w:b/>
        </w:rPr>
        <w:t xml:space="preserve">Quelle: </w:t>
      </w:r>
      <w:r>
        <w:t>https://mcp.opencaselaw.ch/entscheid/bvger_E-627_2013</w:t>
      </w:r>
    </w:p>
    <w:p>
      <w:r>
        <w:t>FR: TAF E-627/2013 du 14 février 2013</w:t>
      </w:r>
    </w:p>
    <w:p>
      <w:r>
        <w:t>IT: TAF E-627/2013 del 14 febbraio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2 AsylG und Art. 52 VwVG) ist vorbehältlich der nachstehenden Erwägungen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4.1</w:t>
      </w:r>
    </w:p>
    <w:p>
      <w:r>
        <w:t>Die Vorinstanz erwog in der angefochtenen Verfügung, der Abgleich der Fingerabdrücke mit der Zentraleinheit EURODAC weise nach, dass der Beschwerdeführer am (...) und am (...) in Italien ein Asylgesuch eingereicht habe. Die italienischen Behörden hätten innerhalb der festgelegten Frist zum Übernahmeersuchen des BFM keine Stellung genommen, weshalb gemäss Abkommen vom 26. Oktober 2004 zwischen der Schweizerischen Eidgenossenschaft und der Europäischen Gemeinschaft über die Kriterien und Verfahren zur Bestimmung des zuständigen Staates für die Prüfung eines in einem Mitgliedstaat oder in der Schweiz gestellten Antrages (Dublin-Assoziierungsabkommen, SR 0.142.392.68) und unter Anwendung von Art. 20 Abs. 1 Bst. c Dublin II-VO, die Zuständigkeit für die Durchführung des Asyl- und Wegweisungsverfahren am 18. Januar 2013 an Italien übergegangen sei. Zum Vorbringen, er werde sich umbringen, falls er nach Italien zurückkehren müsse, sei anzumerken, dass es stossend wäre, wenn ein Gesuchsteller durch Berufung auf eine tatsächliche oder vermeintliche Selbstmordgefahr die Behörden zum Einlenken zwingen könnte. Es stehe dem Beschwerdeführer frei, allenfalls notwendige medizinische Hilfe in Anspruch zu nehmen.</w:t>
      </w:r>
    </w:p>
    <w:p>
      <w:r>
        <w:rPr>
          <w:b/>
        </w:rPr>
        <w:t>E. 4.2</w:t>
      </w:r>
    </w:p>
    <w:p>
      <w:r>
        <w:t>In der Rechtsmitteleingabe wird unter Hinweis auf Art. 7, 8 und 3 Abs. 2 Dublin II-VO, die dazu ergangene Rechtsprechung und Berichte von PRO ASYL zur Aufenthaltssituation von Asylsuchenden in Italien ausgeführt, die Zustände für Asylsuchende in Italien seien menschenunwürdig. Im Zuge des Entscheides des Gerichtshofs der Europäischen Gemeinschaften (EuGH) vom 21. Dezember 2011 (C-411/10 und C-492/10) würden auch Deutsche Verwaltungsgerichte auf die Rücküberstellung von Asylsuchenden nach Italien verzichten und die Verwaltungsbehörden ver-pflichten, vom Selbsteintrittsrecht gemäss Art. 3 Abs. 2 Dublin II-VO Gebrauch zu machen. Angesichts der klaren Faktenlage erscheine die bisherige Einschätzung des Bundesverwaltungsgerichts, es bestehe kein Anlass zur Annahme, Italien verletze seine völkerrechtlichen Verpflichtungen zur Aufnahme und Betreuung von Asylsuchenden, nicht mehr haltbar. Er habe vor gut elf Jahren die Somalierin B._______ in Addis Abeba kennengelernt. Die beiden seien ein Paar geworden und am (...) sei der gemeinsame Sohn C._______ in Äthiopien geboren. Sechs Monate später habe B._______ zusammen mit dem Sohn den Beschwerdeführer verlassen und sei geflüchtet. B._______ sei in der Zwischenzeit in die Schweiz geflüchtet, wo ihr die vorläufige Aufnahme gewährt worden sei. Vor etwa einem Jahr habe C._______ eine Einreisebewilligung in die Schweiz erhalten und lebe nun bei seiner Mutter. Sein Asylverfahren sei noch hängig. Der Beschwerdeführer sei im Jahr 2008 ebenfalls aus Äthiopien geflüchtet und habe in Italien ein Asylgesuch gestellt, weil er zu jenem Zeitpunkt nicht gewusst habe, wo sich seine ehemalige Freundin aufhalte. Vor ein paar Monaten habe er erfahren, dass diese und sein Sohn in der Schweiz seien. Dies sei der Grund, weshalb er im Dezember 2012 wieder in die Schweiz eingereist sei. Nach der Eröffnung der angefochtenen Verfügung habe ein Notfallpsychiater eingeschaltet werden müssen, weil er einen Zusammenbruch erlitten und gedroht habe, sich umzubringen.</w:t>
      </w:r>
    </w:p>
    <w:p>
      <w:r>
        <w:rPr>
          <w:b/>
        </w:rPr>
        <w:t>E. 5.1</w:t>
      </w:r>
    </w:p>
    <w:p>
      <w:r>
        <w:t>Mit der Umsetzung des Dublin-Assoziierungsabkommen verpflichtet sich die Schweiz, die Dublin II-VO anzuwenden. Diese enthält die Kriterien, um denjenigen Dublin-Staat zu bestimmen, der zuständig ist, das Asyl- und Wegweisungsverfahren durchzuführen.</w:t>
      </w:r>
    </w:p>
    <w:p>
      <w:r>
        <w:rPr>
          <w:b/>
        </w:rPr>
        <w:t>E. 5.2</w:t>
      </w:r>
    </w:p>
    <w:p>
      <w:r>
        <w:t>Nach Art. 3 Abs. 2 Dublin 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 Art. 3 der Konvention vom 4. No-vember 1950 zum Schutze der Menschenrechte und Grundfreiheiten (EMRK, SR 0.101) und Art. 3 des Übereinkommens vom 10. Dezember 1984 gegen Folter und andere grausame, unmenschliche oder erniedrigende Behandlung oder Strafe (FoK, SR 0.105). Entgegen der Ansicht des Beschwerdeführers bestehen keine konkreten Hinweise dafür, dass Italien sich nicht an die internationalen Verpflichtungen hält. Italien ist Signatarstaat der FK, EMRK und FoK. Unter dem Dublin-System besteht die Vermutung, dass alle Mitgliedstaaten beziehungsweise staatsvertraglich assoziierten Staaten die Rechte der EMRK garantieren und die Zuständigkeitsordnung selbst ein EMRK-konformes Ergebnis liefert. Die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versus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 Vorliegend ist weder das eine noch das andere anzunehmen. Zwar kritisiert der Beschwerdeführer einlässlich die schlechte Aufenthaltssituation von Asylsuchenden in Italien, aber seine Beanstandungen sind nicht substanziiert und beschränken sich darauf festzuhalten, er habe auf der Strasse oder in verlassenen Häusern gelebt; diese Vorbringen genügen nicht, um die generelle Vermutung umzustossen. Grund dafür, dass der Beschwerdeführer in der Schweiz ein Asylgesuch einreichte, war offensichtlich auch nicht in erster Linie die Aufenthaltssituation in Italien, sondern der Umstand, dass er erfahren hatte, seine ehemalige Freundin und sein Sohn würden sich in der Schweiz aufhalten (vgl. Beschwerde S. 6: "Dies war der Grund, weshalb der Beschwerdeführer im Dezember 2012 wieder in die Schweiz einreiste. Er wollte seinen Sohn und seine ehemalige Freundin sehen."). Vor dem Hintergrund, dass er mit B._______ - die er selbst als seine "ehemalige" Freundin bezeichnet - nicht verheiratet ist und diese den Beschwerdeführer seinen Angaben zufolge Mitte (...) verlassen hat und geflüchtet ist, seither offensichtlich keine Treffen mehr stattfanden und zudem die Vaterschaft zum Kind C._______ unbewiesen ist, liegt jedenfalls keine Familienangehörigkeit im Sinne von Art. 7 und 8 Dublin II-VO vor. Hinsichtlich der Suiziddrohung des Beschwerdeführers für den Fall der Rückführung nach Italien ist festzuhalten, dass er abgesehen von seinem nicht substanziiert geltend gemachten Zusammenbruch bei der Eröffnung des vorinstanzlichen Nichteintretensentscheides und der Einschaltung eines Notarztes offensichtlich in keiner weiteren ärztlichen Behandlung steht, so dass es keine Veranlassung gibt, von einer akuten Selbst- oder Fremdgefährdung auszugehen, welche einem Vollzug der Wegweisung nach Italien entgegenstehen würde (vgl. vorstehend dazu auch E. 4.1). Die Vorinstanz ist somit zutreffend von der Zuständigkeit Italiens ausgegangen und in Anwendung von Art. 34 Abs. 2 Bst. d AsylG zu Recht auf das Asylgesuch nicht eingetreten.</w:t>
      </w:r>
    </w:p>
    <w:p>
      <w:r>
        <w:rPr>
          <w:b/>
        </w:rPr>
        <w:t>E. 6.1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(vgl.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in diesem Sinne den Vollzug der Wegwei­sung nach Italien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w:t>
      </w:r>
    </w:p>
    <w:p>
      <w:r>
        <w:rPr>
          <w:b/>
        </w:rPr>
        <w:t>E. 8</w:t>
      </w:r>
    </w:p>
    <w:p>
      <w:r>
        <w:t>Mit dem Entscheid in der Hauptsache wird der Antrag auf Erteilung der aufschiebenden Wirkung (der Beschwerde) hinfällig.</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