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E-6277/2020 vom 12. Januar 2021</w:t>
      </w:r>
    </w:p>
    <w:p>
      <w:r>
        <w:t>Bundesverwaltungsgericht, 2021-01-12, FR</w:t>
      </w:r>
    </w:p>
    <w:p>
      <w:r>
        <w:rPr>
          <w:b/>
        </w:rPr>
        <w:t xml:space="preserve">Quelle: </w:t>
      </w:r>
      <w:r>
        <w:t>https://mcp.opencaselaw.ch/entscheid/bvger_E-6277_2020</w:t>
      </w:r>
    </w:p>
    <w:p>
      <w:r>
        <w:t>FR: TAF E-6277/2020 du 12 janvier 2021</w:t>
      </w:r>
    </w:p>
    <w:p>
      <w:r>
        <w:t>IT: TAF E-6277/2020 del 12 gennaio 2021</w:t>
      </w:r>
    </w:p>
    <w:p>
      <w:pPr>
        <w:pStyle w:val="Heading2"/>
      </w:pPr>
      <w:r>
        <w:t>Regeste</w:t>
      </w:r>
    </w:p>
    <w:p>
      <w:r>
        <w:t>Asile (non-entrée en matière / Etat tiers sûr 31a I a,c,d,e)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en matière d'asile et de renvoi (principe) est rejeté.</w:t>
      </w:r>
    </w:p>
    <w:p>
      <w:r>
        <w:rPr>
          <w:b/>
        </w:rPr>
        <w:t>E. 2</w:t>
      </w:r>
    </w:p>
    <w:p>
      <w:r>
        <w:t>Le recours est admis, en tant qu'il conclut à l'annulation de la décision du SEM du 3 décembre 2020 en matière d'exécution du renvoi.</w:t>
      </w:r>
    </w:p>
    <w:p>
      <w:r>
        <w:rPr>
          <w:b/>
        </w:rPr>
        <w:t>E. 3</w:t>
      </w:r>
    </w:p>
    <w:p>
      <w:r>
        <w:t>Les chiffres 3 et 4 du dispositif de la décision du SEM du 3 décembre 2020 sont annulés et la cause est renvoyée au SEM pour instruction complémentaire et nouvelle décision dans le sens des considérants.</w:t>
      </w:r>
    </w:p>
    <w:p>
      <w:r>
        <w:rPr>
          <w:b/>
        </w:rPr>
        <w:t>E. 4</w:t>
      </w:r>
    </w:p>
    <w:p>
      <w:r>
        <w:t>La demande d'assistance judiciaire totale est admise.</w:t>
      </w:r>
    </w:p>
    <w:p>
      <w:r>
        <w:rPr>
          <w:b/>
        </w:rPr>
        <w:t>E. 5</w:t>
      </w:r>
    </w:p>
    <w:p>
      <w:r>
        <w:t>Il n'est pas perçu de frais de procédure.</w:t>
      </w:r>
    </w:p>
    <w:p>
      <w:r>
        <w:rPr>
          <w:b/>
        </w:rPr>
        <w:t>E. 6</w:t>
      </w:r>
    </w:p>
    <w:p>
      <w:r>
        <w:t>Michael Pfeiffer est désigné mandataire d'office.</w:t>
      </w:r>
    </w:p>
    <w:p>
      <w:r>
        <w:rPr>
          <w:b/>
        </w:rPr>
        <w:t>E. 7</w:t>
      </w:r>
    </w:p>
    <w:p>
      <w:r>
        <w:t>Une indemnité de 409,75 francs sera versée à Michael Pfeiffer à titre d'honoraires et de débours, à payer par la caisse du Tribunal.</w:t>
      </w:r>
    </w:p>
    <w:p>
      <w:r>
        <w:rPr>
          <w:b/>
        </w:rPr>
        <w:t>E. 8</w:t>
      </w:r>
    </w:p>
    <w:p>
      <w:r>
        <w:t>Le SEM est invité à verser au recourant le montant de 490,55 francs à titre de dépens.</w:t>
      </w:r>
    </w:p>
    <w:p>
      <w:r>
        <w:rPr>
          <w:b/>
        </w:rPr>
        <w:t>E. 9</w:t>
      </w:r>
    </w:p>
    <w:p>
      <w:r>
        <w:t>Le présent arrêt est adressé au mandataire du recourant, au SEM et à l'autorité cantonale compétente. La présidente du collège : La greffière : Déborah D'Aveni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