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E-6273/2009 vom 29. Juli 2011</w:t>
      </w:r>
    </w:p>
    <w:p>
      <w:r>
        <w:t>Bundesverwaltungsgericht, 2011-07-29, DE</w:t>
      </w:r>
    </w:p>
    <w:p>
      <w:r>
        <w:rPr>
          <w:b/>
        </w:rPr>
        <w:t xml:space="preserve">Quelle: </w:t>
      </w:r>
      <w:r>
        <w:t>https://mcp.opencaselaw.ch/entscheid/bvger_E-6273_2009</w:t>
      </w:r>
    </w:p>
    <w:p>
      <w:r>
        <w:t>FR: TAF E-6273/2009 du 29 juillet 2011</w:t>
      </w:r>
    </w:p>
    <w:p>
      <w:r>
        <w:t>IT: TAF E-6273/2009 del 29 luglio 2011</w:t>
      </w:r>
    </w:p>
    <w:p>
      <w:pPr>
        <w:pStyle w:val="Heading2"/>
      </w:pPr>
      <w:r>
        <w:t>Regeste</w:t>
      </w:r>
    </w:p>
    <w:p>
      <w:r>
        <w:t>Asyl und Wegweisung</w:t>
      </w:r>
    </w:p>
    <w:p>
      <w:pPr>
        <w:pStyle w:val="Heading2"/>
      </w:pPr>
      <w:r>
        <w:t>Erwägungen</w:t>
      </w:r>
    </w:p>
    <w:p>
      <w:r>
        <w:rPr>
          <w:b/>
        </w:rPr>
        <w:t>E. 1</w:t>
      </w:r>
    </w:p>
    <w:p>
      <w:r>
        <w:t>1.1 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 d­eentscheides angefochten, dies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Was die Partei, die um Revision nachsucht, bereits im ordentlichen Beschwerdev­erfahren hätte geltend machen können, gilt nicht als Revisionsgrund (sinngemäss Art. 46 VGG). Im Revisionsge­such ist insbesondere der angerufene Revisions­grund anzugeben und die Rechtzeitigkeit des Revisionsbegehrens im Sinne von Art. 124 BGG darzutun. Der Gesuchsteller macht den Revisionsgrund von Art. 123 Abs. 2 Bst. a BGG geltend. Auf das im Übrigen frist- und formgerecht eingereichte Revisionsges­uch ist einzutreten. 2.Der Gesuchsteller macht in seiner Eingabe vom 2. Oktober 2009 geltend, seine Frau habe im Jahr (...) anlässlich verschiedener Razzien, welche die Polizei zu Hause auf der Suche nach ihm durchgeführt habe, (...) beim Türkischen Menschenrechtsverein eine Meldung gemacht. In diesen Meldungen beschreibe sie namentlich auch, wie sie mit den Kindern wegen der unerträglichen Situation in ihrem Heimatdorf ihrem Mann nach Izmir gefolgt sei und dass die Polizei die Familie auch dort behelligt habe und selbst nach seiner Flucht noch behellige. Ihre Angaben würden die Aussagen des Gesuchstellers, wonach er in Izmir bereits kurz nach seiner Ankunft von der Polizei ausfindig gemacht worden sei, bestätigen. Auf die Beschwerden, welche seine Frau beim Türkischen Menschenrechtsverein eingereicht habe, sei jeweils ein Schreiben an die Staatsanwaltschaft von Izmir erfolgt, in welchem diese um eine Stellungnahme zum Fall gebeten worden sei. Fast (...) später liege leider nach wie vor keine Antwort vor. Nach dem Gesagten stehe fest, dass der Gesuchsteller im Zeitpunkt seiner Flucht verfolgt worden sei und die unmittelbare Gefahr von Inhaftierung und Folter bis hin zur extralegalen Hinrichtung bestanden habe. Eine sichere landesinterne Fluchtalternative habe aufgrund der landesweiten Fichierung nicht bestanden. Die bis heute andauernden polizeilichen Behelligungen der Familie seien ein offensichtliches Zeichen dafür, dass er nach wie vor auch im von seinem Heimatdorf weit entfernten Westen der Türkei gesucht werde. Die Annahme, wonach dem Gesuchsteller die Löschung der (...) ihn betreffenden Datenblätter gelungen sei, werde klar zurückgewiesen. Sein türkischer Anwalt habe mehrere Anrufe getätigt, um die Löschung der Fichen in die Wege zu leiten. Seine Bemühungen seien jedoch ohne Erfolg geblieben. Ausserdem sei eine Löschung nur scheinbar effektiv, da die Fichen von den Behörden nach Belieben wieder aktiviert würden. Es sei notorisch, dass fichierte Personen auch Jahre später noch von den Sicherheitskräften diskriminiert, schikaniert und belästigt würden. Die Asylrekurskommission habe in ihrem Urteil vom 29. März 2005 (Entscheidungen und Mitteilungen der Schweizerischen Asylrekurskommission [EMARK] 2005 Nr. 11) die Regelvermutung aufgestellt, wonach schon augrund der landesweiten Fichierung nicht von der Existenz einer sicheren landesinternen Fluchtalternative ausgegangen werden könne. Die Fichierung bewirke die Vermutung der objektiv begründeten Furcht, bei einer Rückkehr in die Türkei mit beachtlicher Wahrscheinlichkeit und in absehbarer Zukunft behördlichen Verfolgungsmassnahmen im Sinne von Art. 3 AsylG ausgesetzt zu werden, womit die fichierte Person die Flüchtlingseigenschaft erfülle. Die im Urteil des Bundesverwaltungsgerichts vom 5. August 2009 dargelegte Annahme, dass der Gesuchsteller trotz der Fichierung keiner Gefahr der Festnahme und politischer Verfolgung ausgesetzt wäre, sei nicht nachvollziehbar.</w:t>
      </w:r>
    </w:p>
    <w:p>
      <w:r>
        <w:rPr>
          <w:b/>
        </w:rPr>
        <w:t>E. 3.1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3.3</w:t>
      </w:r>
    </w:p>
    <w:p>
      <w:r>
        <w:t>Die ARK hat in ihrem Entscheid EMARK 2005 Nr. 11 festgestellt, dass bei Asylbewerbern aus der Türkei, für welche im Zusammenhang mit vermuteter regimekritischer Orientierung politische Datenblätter angelegt worden sind, in der Regel bereits aufgrund dieser Fichierung von einer berechtigten Furcht vor künftiger asylrechtlich relevanter staatlicher Verfolgung auszugehen ist. Diese Rechtsprechung wird vom Bundesver-waltungsgericht weitergeführt. Im Sinne einer Ausnahme lässt sie jedoch im Einzelfalle die Möglichkeit offen, trotz bestehenden Datenblattes die Flüchtlingseigenschaft zu verneinen. Das Bundesverwaltungsgericht hat in seinem Urteil vom 5. August 2009 einlässlich dargelegt, weshalb es im Falle des Gesuchstellers von der obgenannten Regelvermutung abgewichen ist. In Erwägung 3.6 hält es fest, dass angesichts der langen Zeit seit den Fichierungen, der damals erfolgten Freisprüche, der vermutungsweise zwischenzeitlich erfolgten Löschung der Datenblätter, der mangels Intensität der Verfolgungsmass-nahmen nicht glaubhaft gemachten politischen Verfolgung im Heimatdorf und der vorhandenen Möglichkeit der (Wieder-)Inanspruchnahme landesinterner Schutzalternativen eine Vielzahl von Elemente zu erblicken seien, die eine Abweichung rechtfertigen würden. Des Weiteren ist darauf hinzuweisen, dass es nicht Sinn des Revisionsverfahrens ist zu überprüfen, ob das entsprechende Urteil richtig oder falsch ist. Die im Revisionsgesuch geäusserte Kritik kann demzufolge nicht gehört werden. Hinsichtlich der eingereichten Beweismittel ist darauf hinzuweisen, dass sich das Gericht schon im vorgenannten Urteil (E. 3.4.6) mit den geltend gemachten Behelligungen der Familienmitglieder des Gesuchstellers auseinandergesetzt hat und dass diese Vorbringen bereits im ordentlichen Verfahren hätten beigebracht werden müssen. Sie betreffen ausserdem im Wesentlichen den Informationsaustausch zwischen der Ehefrau des Gesuchstellers und dem IHD, ohne dass diese überprüft worden wären. Sodann kann aus dem Fehlen einer Antwort der Staatsanwaltschaft von Izmir nicht geschlossen werden, die Polizei hätte gegen den Gesuchsteller eine Untersuchung eingeleitet oder sie fahnde nach ihm. Auch die exilpolitischen Aktivitäten wurden in diesem Urteil schon gewürdigt. Es wurde festgestellt, dass der Gesuchsteller bereits vor seiner Einreise in die Schweiz über kein ausgeprägtes politisches Profil verfügt habe und in den Jahren seiner Anwesenheit nicht das Bild einer Person vermittle, die beseelt von einer tiefgreifenden politischen Überzeugung regelmässig regimekritisch an die Öffentlichkeit getreten sei (E. 3.5.2). Im Rahmen des Revisionsverfahrens vermögen an dieser Feststellung auch die neuen Beweismittel (...) nichts zu ändern. Das Urteil des Bundesverwaltungsgerichts vom 5. August 2009 ist dadurch nicht als fehlerbehaftet zu beurteilen.</w:t>
      </w:r>
    </w:p>
    <w:p>
      <w:r>
        <w:rPr>
          <w:b/>
        </w:rPr>
        <w:t>E. 3.4</w:t>
      </w:r>
    </w:p>
    <w:p>
      <w:r>
        <w:t>Gemäss dem Arztbericht von G._______, (...), vom 17. Mai 2011 leide der Gesuchsteller insbesondere an einer komplexen PTBS. Aktuell sei der Gesuchsteller von seinen Suizidgedanken distanziert bei unverändertem Leiden an der vorgenannten Symptomatik. Psychotherapeutisch werde bei ihm eine Verarbeitung der traumaspezifischen Folgestörung weiterverfolgt. Kurzfristig stehe eine Stabilisierung mittels Ressourcenarbeit im Fokus der Behandlung. Hinsichtlich der gesundheitlichen Probleme des Gesuchstellers ist festzuhalten, dass diese im Rahmen des Revisionsverfahrens nicht geeignet sind, die ursprüngliche Fehlerhaftigkeit des Urteils des Bundesverwaltungsgerichts vom 5. August 2009 zu begründen. Allenfalls wären diese im Rahmen eines Wiedererwägungsgesuchs geltend zu machen (Begehren um Anpassung eines ursprünglich fehlerfreien Entscheides aufgrund einer nachträglich veränderten Sachlage). 4.Zusammenfassend ist festzuhalten, dass keine revisionsrechtlich rele-vanten Gründe dargetan sind. Das Gesuch um Revision des Urteils des Bundesverwaltungsgerichts vom 5. August 2009 ist demzu­folge abzuweisen, soweit darauf einzutreten ist. 5.Bei diesem Ausgang des Verfahrens sind die Kosten im Betrag von Fr. 1200.- dem Gesuchstel­ler aufzuerlegen (Art. 37 VGG i.V.m. Art. 63 Abs. 1 VwVG; Art. 1-3 des Reglements vom 21. Februar 2008 über die Kosten und Entschädigun­gen vor dem Bundesverwaltungsgericht [VGKE, SR 173.320.2]). Sie sind mit dem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