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E-6270/2023 vom 17. November 2023</w:t>
      </w:r>
    </w:p>
    <w:p>
      <w:r>
        <w:t>Bundesverwaltungsgericht, 2023-11-17, DE</w:t>
      </w:r>
    </w:p>
    <w:p>
      <w:r>
        <w:rPr>
          <w:b/>
        </w:rPr>
        <w:t xml:space="preserve">Quelle: </w:t>
      </w:r>
      <w:r>
        <w:t>https://mcp.opencaselaw.ch/entscheid/bvger_E-6270_2023</w:t>
      </w:r>
    </w:p>
    <w:p>
      <w:r>
        <w:t>FR: TAF E-6270/2023 du 17 novembre 2023</w:t>
      </w:r>
    </w:p>
    <w:p>
      <w:r>
        <w:t>IT: TAF E-6270/2023 del 17 novembre 2023</w:t>
      </w:r>
    </w:p>
    <w:p>
      <w:pPr>
        <w:pStyle w:val="Heading2"/>
      </w:pPr>
      <w:r>
        <w:t>Regeste</w:t>
      </w:r>
    </w:p>
    <w:p>
      <w:r>
        <w:t>Nichteintreten auf Asylgesuch und Wegweisung (Dublin-Verfahren - Art. 31a Abs. 1 Bst. b AsylG)</w:t>
      </w:r>
    </w:p>
    <w:p>
      <w:pPr>
        <w:pStyle w:val="Heading2"/>
      </w:pPr>
      <w:r>
        <w:t>Volltext</w:t>
      </w:r>
    </w:p>
    <w:p>
      <w:r>
        <w:t>ç Bundesverwaltungsgericht Tribunal administratif fédéral Tribunale amministrativo federale Tribunal administrativ federal Abteilung V E-6270/2023 Urteil vom 17. November 2023 Besetzung Einzelrichterin Gabriela Freihofer, mit Zustimmung von Richterin Aileen Truttmann; Gerichtsschreiber Stefan Trottmann. Parteien A._______, geboren am (...), Afghanistan, vertreten durch Lea Hungerbühler, Rechtsanwältin, substituiert durch Clara Böttinger, AsyLex, (...), Beschwerdeführer, gegen Staatssekretariat für Migration (SEM), Quellenweg 6, 3003 Bern, Vorinstanz. Gegenstand Nichteintreten auf Asylgesuch und Wegweisung (Dublin-Verfahren - Art. 31a Abs. 1 Bst. b AsylG); Verfügung des SEM vom 7. November 2023 / N (...). Das Bundesverwaltungsgericht stellt fest, dass der Beschwerdeführer am 4. September 2023 in der Schweiz um Asyl nachsuchte (vgl. Akten der Vorinstanz 1277725-[nachfolgend: SEM-.act.] 4/2), dass ein Abgleich mit der europäischen Fingerabdruck-Datenbank (Zentraleinheit Eurodac) ergab, dass er am 25. August 2023 bereits in Kroatien um Asyl nachgesucht hatte (vgl. SEM-act. 8/1), dass das SEM die kroatischen Behörden am 11. September 2023 um Wiederaufnahme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(vgl. SEM-act. 14/5), dass die Vorinstanz dem Beschwerdeführer am 12. September 2023 - im Beisein seiner Rechtsvertretung - das rechtliche Gehör zu einem allfälligen Nichteintretensentscheid und einer Überstellung nach Kroatien gewährte (vgl. SEM-act. 17/2), dass er sich zu einer Überstellung nach Kroatien ablehnend äusserte, da er von den kroatischen Beamten nicht gut behandelt worden sei; er wolle lieber in der Schweiz bleiben, dass er weiter ausführte, er sei gezwungen worden, seine Fingerabdrücke abzugeben und sei am Ende ohne weitere Informationen an einer Zugstation abgesetzt worden, dass er ferner angab, keine gesundheitlichen Probleme zu haben, dass dem Wiederaufnahmeersuchen am 23. September 2023 von Kroatien gestützt auf Art. 20 Abs. 5 Dublin-III-VO entsprochen wurde (vgl. SEM-act. 18/2), dass das SEM mit Verfügung vom 7. November 2023 - eröffnet am Folgetag - in Anwendung von Art. 31a Abs. 1 Bst. b AsylG (SR 142.31) auf das Asylgesuch des Beschwerdeführers nicht eintrat, seine Wegweisung nach Kroatien anordnete, ihn aufforderte, die Schweiz am Tag nach Ablauf der Beschwerdefrist zu verlassen, und den zuständigen Kanton mit dem Vollzug der Wegweisung beauftragte, dass es gleichzeitig feststellte, einer allfälligen Beschwerde gegen den Entscheid komme keine aufschiebende Wirkung zu, und die Aushändigung der editionspflichtigen Akten gemäss Aktenverzeichnis an den Beschwerdeführer verfügte (vgl. SEM-act. 19/16 und 21/1), dass der Beschwerdeführer mit Eingabe vom 15. November 2023 gegen diese Verfügung beim Bundesverwaltungsgericht Beschwerde erhob, dass er in der Sache beantragte, die angefochtene Verfügung sei aufzuheben und die Vorinstanz anzuweisen, auf das Asylgesuch einzutreten, dass die Sache eventualiter an die Vorinstanz zurückzuweisen sei, dass der Beschwerdeführer in verfahrensrechtlicher Hinsicht um Gewährung der unentgeltlichen Prozessführung und Verzicht auf die Erhebung eines Kostenvorschusses ersuchte, dass der Beschwerde die aufschiebende Wirkung zu erteilen und superprovisorisch vollzugshemmende Massnahmen anzuordnen seien, dass die vorinstanzlichen Akten dem Bundesverwaltungsgericht am 15. November 2023 in elektronischer Form vorlagen (vgl. Art. 109 Abs. 3 AsylG), dass das Bundesverwaltungsgericht am selben Tag einen superprovisorischen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in der Beschwerdeschrift im Sinne eines Eventualbegehrens die Rückweisung der Sache an die Vorinstanz beantragt wird, da sie «wichtige Tatsachen, welche zur Zuständigkeit der Schweizer Behörden führen» nicht näher abgeklärt habe, dass sich in den Akten keine Hinweise darauf finden, dass die Vorinstanz die Vorbringen des Beschwerdeführers nicht sorgfältig und differenziert geprüft und in der Entscheidfindung berücksichtigt hätte, dass die Vorinstanz entgegen der Beschwerdeschrift die Aufnahmebedingungen in Kroatien in rechtsgenüglicher Weise sorgfältig prüfte und berücksichtigte (vgl. SEM-act. 19/16 S. 4 ff.), dass sich allein aus dem Umstand, dass das SEM bei der Würdigung des Sachverhalts zu einem anderen Schluss gelangt, als vom Beschwerdeführer erhofft, keine unrichtige oder unvollständige Feststellung des Sachverhalts ableiten lässt, dass das Rechtsbegehren um Rückweisung der Sache an die Vorinstanz zur Neubeurteilung demzufolge abzuweisen ist,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wobei im Rahmen des sogenannten Wiederaufnahmeverfahrens (engl.: take back) grundsätzlich keine (erneute) Zuständigkeitsprüfung nach Kapitel III stattfindet und die Zuständigkeit beziehungsweise die Verpflichtung des Mitgliedstaates zur Wiederaufnahme sich direkt aus Art. 18 Abs. 1 Bst. b-d beziehungsweise Art. 20 Abs. 5 Dublin-III-VO ergibt (vgl. Urteil des Gerichtshofs der Europäischen Union [EuGH] [Grosse Kammer] vom 2. April 2019, H. und R., C 582/17 und C-583/17, EU:C:2019:280, Rn. 47-50; BVGE 2019 VI/7 E. 4-6, 2017 VI/5 E. 6.2 und 8.2.1 m.H.), dass ein Abgleich der Fingerabdrücke des Beschwerdeführers mit der «Eurodac»-Datenbank ergab, dass er am 25. August 2023 in Kroatien um Asyl nachgesucht hatte (vgl. SEM-act. 8/1), dass, nachdem die kroatischen Behörden dem Gesuch um Wiederaufnahme gestützt auf Art. 20 Abs. 5 Dublin-III-VO ausdrücklich zugestimmt haben, die staatsvertragliche Zuständigkeit Kroatiens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bestätigten Rechtsprechung nicht davon ausgeht, das Asylverfahren und die Aufnahmebedingungen in Kroatien wiesen systemische Schwachstellen im Sinne von Art. 3 Abs. 2 Sätze 2 und 3 Dublin-III-VO auf (vgl. statt vieler Urteile des BVGer F-5486/2023 vom 16. Oktober 2023 E. 5 und D-5164/2023 vom 2. Oktober 2023 E. 7.3; jeweils m.H.a. das Referenzurteil des BVGer E-1488/2020 vom 22. März 2023 E. 9.5), dass daher die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ist und grundsätzlich davon auszugehen ist, dass es seinen diesbezüglichen völkerrechtlichen Verpflichtungen nachkommt, dass auch anzunehmen ist, dieser Staat anerkenne und schütze weiterhin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Vermutung, Kroatien halte seine völker- und gemeinschaftsrechtlichen Verpflichtungen ein, zwar im Einzelfall widerlegt werden kann, es hierfür aber konkreter und ernsthafter Hinweise bedarf, die von der betroffenen Person glaubhaft darzutun sind (vgl. BVGE 2010/45 E. 7.4 f.), dass eine zwangsweise Rückweisung von Personen mit gesundheitlichen Problemen nur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oder wenn eine schwer kranke Person durch die Abschiebung mit einem realen Risiko konfrontiert würde, einer ernsten, raschen und unwiederbringlichen Verschlechterung ihres Gesundheitszustands ausgesetzt zu werden (vgl. Urteil des EGMR Paposhvili gegen Belgien vom 13. Dezember 2016, Grosse Kammer 41738/10, §§ 180-193 m.w.H.), dass eine solche Konstellation im Fall des Beschwerdeführers offensichtlich nicht gegeben ist, zumal er gemäss eigenen Angaben an keinen gesundheitlichen Problemen leidet (vgl. SEM-act. 17/2), dass Kroatien im Übrigen über eine ausreichende medizinische Infrastruktur verfügt und kein Grund ersichtlich ist, der die Annahme rechtfertigt, Kroatien könnte dem Beschwerdeführer in Verletzung seiner sich aus der Aufnahmerichtlinie ergebenden Verpflichtungen (im Bedarfsfall) den Zugang zu einer in Zukunft allenfalls erforderlichen medizinischen Versorgung - auch nicht einer psychiatrisch-psychologischen - verweigern, dass insgesamt somit keine zwingenden Gründe für die Anwendung der Ermessensklauseln von Art. 17 Dublin-III-VO vorliegen, dass der Beschwerdeführer mitten im Fliesstext das Subeventualbegehren stellt, es seien Zusicherungen einzuholen, dass ihm ab dem Zeitpunkt der Ankunft in Kroatien umgehend Obdach, Nahrung, eine adäquate medizinische sowie psychologische Behandlung zur Verfügung stehen würden, dass rechtsprechungsgemäss davon auszugehen ist, dass bei den kroatischen Behörden in der Regel keine individuellen Zusicherungen im Zusammenhang mit der Überstellung einzuholen sind (vgl. Referenzurteil des BVGer E-1488/2020 vom 22. März 2023 E. 12), dass gemäss Praxis des Bundesverwaltungsgerichts das SEM bei der Anwendung von Art. 29a Abs. 3 AsylV 1 über einen Ermessensspielraum (vgl. BVGE 2015/9 E. 7 f.) verfügt und die angefochtene Verfügung auch unter diesem Blickwinkel nicht zu beanstanden ist, dass die Beschwerde nach dem Gesagten abzuweisen und die Verfügung der Vorinstanz zu bestätigen ist, dass mit dem vorliegenden Urteil der am 15. November 2023 angeordnete Vollzugsstopp dahinfällt, dass die Gesuche um Erteilung der aufschiebenden Wirkung und Verzicht auf die Erhebung eines Kostenvorschusses mit dem vorliegenden Entscheid in der Sache gegenstandslos geworden sind, dass das Gesuch um Gewährung der unentgeltlichen Prozessführung abzuweisen ist,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Gabriela Freihofer Stefan Trottmann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