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E-6268/2013 vom 26. März 2014</w:t>
      </w:r>
    </w:p>
    <w:p>
      <w:r>
        <w:t>Bundesverwaltungsgericht, 2014-03-26, DE</w:t>
      </w:r>
    </w:p>
    <w:p>
      <w:r>
        <w:rPr>
          <w:b/>
        </w:rPr>
        <w:t xml:space="preserve">Quelle: </w:t>
      </w:r>
      <w:r>
        <w:t>https://mcp.opencaselaw.ch/entscheid/bvger_E-6268_2013</w:t>
      </w:r>
    </w:p>
    <w:p>
      <w:r>
        <w:t>FR: TAF E-6268/2013 du 26 mars 2014</w:t>
      </w:r>
    </w:p>
    <w:p>
      <w:r>
        <w:t>IT: TAF E-6268/2013 del 26 marzo 2014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gutgeheissen.</w:t>
      </w:r>
    </w:p>
    <w:p>
      <w:r>
        <w:rPr>
          <w:b/>
        </w:rPr>
        <w:t>E. 2</w:t>
      </w:r>
    </w:p>
    <w:p>
      <w:r>
        <w:t>Die Verfügung des BFM vom 25. Oktober 2012 wird aufgehoben und die Vorinstanz angewiesen, das Asylverfahren des Beschwerdeführers durchzuführen.</w:t>
      </w:r>
    </w:p>
    <w:p>
      <w:r>
        <w:rPr>
          <w:b/>
        </w:rPr>
        <w:t>E. 3</w:t>
      </w:r>
    </w:p>
    <w:p>
      <w:r>
        <w:t>Es werden keine Verfahrenskosten auferlegt.</w:t>
      </w:r>
    </w:p>
    <w:p>
      <w:r>
        <w:rPr>
          <w:b/>
        </w:rPr>
        <w:t>E. 4</w:t>
      </w:r>
    </w:p>
    <w:p>
      <w:r>
        <w:t>Das BFM wird angewiesen, dem Beschwerdeführer für das Verfahren vor dem Bundesverwaltungsgericht eine Parteientschädigung von Fr. 2'300.- (inkl. Auslagen) auszurichten.</w:t>
      </w:r>
    </w:p>
    <w:p>
      <w:r>
        <w:rPr>
          <w:b/>
        </w:rPr>
        <w:t>E. 5</w:t>
      </w:r>
    </w:p>
    <w:p>
      <w:r>
        <w:t>Dieses Urteil geht an den Beschwerdeführer, das BFM und die kantonale Migrationsbehörde. Die vorsitzende Richterin: Die Gerichtsschreiberin: Regula Schenker Senn Aglaja Schinzel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