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E-6260/2007 vom 23. November 2010</w:t>
      </w:r>
    </w:p>
    <w:p>
      <w:r>
        <w:t>Bundesverwaltungsgericht, 2010-11-23, DE</w:t>
      </w:r>
    </w:p>
    <w:p>
      <w:r>
        <w:rPr>
          <w:b/>
        </w:rPr>
        <w:t xml:space="preserve">Quelle: </w:t>
      </w:r>
      <w:r>
        <w:t>https://mcp.opencaselaw.ch/entscheid/bvger_E-6260_2007</w:t>
      </w:r>
    </w:p>
    <w:p>
      <w:r>
        <w:t>FR: TAF E-6260/2007 du 23 novembre 2010</w:t>
      </w:r>
    </w:p>
    <w:p>
      <w:r>
        <w:t>IT: TAF E-6260/2007 del 23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w:t>
      </w:r>
    </w:p>
    <w:p>
      <w:r>
        <w:rPr>
          <w:b/>
        </w:rPr>
        <w:t>E. 3</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4.1</w:t>
      </w:r>
    </w:p>
    <w:p>
      <w:r>
        <w:t>Die Verfügung des BFM vom 21. Dezember 2006 ist in Rechtskraft erwachsen. Der Gegenstand der Beschwerde ist somit auf die Frage beschränkt, ob die Vorinstanz die vorläufige Aufnahme des Beschwerdeführers mit Verfügung vom 30. August 2007 zu Recht aufgehoben hat.</w:t>
      </w:r>
    </w:p>
    <w:p>
      <w:r>
        <w:rPr>
          <w:b/>
        </w:rPr>
        <w:t>E. 4.2</w:t>
      </w:r>
    </w:p>
    <w:p>
      <w:r>
        <w:t>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21. Dezember 2006 vorläufig aufgenommen wurde, ist aufgrund der genannten übergangsrechtlichen Regelung das Vorliegen der Voraussetzungen für die Aufhebung der vorläufigen Aufnahme nach neuem Recht - mithin nach Art. 84 Abs. 2 AuG - zu prüfen.</w:t>
      </w:r>
    </w:p>
    <w:p>
      <w:r>
        <w:rPr>
          <w:b/>
        </w:rPr>
        <w:t>E. 4.3</w:t>
      </w:r>
    </w:p>
    <w:p>
      <w:r>
        <w:t>Wurde eine ausländische Person in der Schweiz vorläufig aufgenommen, so überprüft das BFM periodisch, ob im konkreten 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4.4</w:t>
      </w:r>
    </w:p>
    <w:p>
      <w:r>
        <w:t>Zu prüfen ist demnach, ob das BFM den Wegweisungsvollzug zu Recht als zulässig, zumutbar und möglich erklärt hat.</w:t>
      </w:r>
    </w:p>
    <w:p>
      <w:r>
        <w:rPr>
          <w:b/>
        </w:rPr>
        <w:t>E. 4.5</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5.1.2</w:t>
      </w:r>
    </w:p>
    <w:p>
      <w:r>
        <w:t>Das BFM wies in der angefochtenen Verfügung zutreffend darauf hin, dass der Grundsatz der Nichtrückschiebung nur Personen schützt, die die Flüchtlingseigenschaft erfüllen. Mit in Rechtskraft erwachsener Verfügung vom 21. Dezember 2006 wurde festgestellt, dass der Beschwerdeführer die Flüchtlingseigenschaft gemäss Art. 3 AsylG nicht erfüllt, weshalb das in Art. 5 AsylG verankerte Prinzip des flüchtlingsrechtlichen Non-Refoulements im vorliegenden Verfahren keine Anwendung finden kann. Eine Rückkehr des Beschwerdeführers in den Nordirak ist demnach unter dem Aspekt von Art. 5 AsylG rechtmässig. 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Nach Praxis des Bundesverwaltungsgerichts lässt schliesslich auch die allgemeine Sicherheits- und Menschenrechtslage in den drei kurdischen Provinzen Dohuk, Erbil und Suleimaniya den Wegweisungsvollzug nicht als unzulässig erscheinen, da von hinreichend gefestigten Verhältnissen auszugehen ist und die Sicherheits- und Justizbehörden der drei kurdischen Provinzen grundsätzlich in der Lage und willens sind, den Einwohnern Schutz vor Verfolgung zu gewähren.</w:t>
      </w:r>
    </w:p>
    <w:p>
      <w:r>
        <w:rPr>
          <w:b/>
        </w:rPr>
        <w:t>E. 5.1.3</w:t>
      </w:r>
    </w:p>
    <w:p>
      <w:r>
        <w:t>Der Vollzug der Wegweisung ist demzufolge sowohl im Sinne der asyl- als auch der völkerrechtlichen Bestimmungen zulässig.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5.2.2</w:t>
      </w:r>
    </w:p>
    <w:p>
      <w:r>
        <w:t>Das Bundesverwaltungsgericht geht gemäss seiner nach wie vor aktuellen Praxis davon aus, dass in den drei kurdischen Provinzen Dohuk, Erbil und Suleimaniya keine Situation allgemeiner Gewalt herrscht und die dortige politische Lage nicht dermassen angespannt ist, dass eine Rückführung dorthin generell als unzumutbar betrachtet werden müsste (Entscheide des Schweizerischen Bundesverwaltungsgerichts [BVGE] 2008/5 E. 7.5.8 S. 72). Zusammenfassend wird im erwähnten Entscheid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w:t>
      </w:r>
    </w:p>
    <w:p>
      <w:r>
        <w:rPr>
          <w:b/>
        </w:rPr>
        <w:t>E. 5.2.3</w:t>
      </w:r>
    </w:p>
    <w:p>
      <w:r>
        <w:t>Die Sicherheitssituation in den drei kurdischen Provinzen hat sich seit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Kurdistan Regional Government Area of Iraq, 16. September 2009, S. 32 ff.). Die SFH bezeichnet die Sicherheitslage im Nordirak als "vergleichsweise friedlich und stabil" (Michael Kirschner, SFH, Irak, Update: Aktuelle Entwicklungen, 14. August 2008, Ziff. 3.1, S. 9). Zwar hat das türkische Militär in den Jahren 2007 und 2008 eine Offensive gegen PKK-Stellungen im Nordirak geführt, die allgemeine Sicherheitslage wurde dadurch jedoch nicht beeinflusst (vgl. a.a.O.). Auch das UNHCR bestätigt in einem Bericht von Juli 2010 die relativ stabile Sicherheitslage in den drei kurdischen Provinzen (vgl. Unhcr, Note on the Continued Applicability of the April 2009 UNHCR Eligibility Guidelines for Assessing the International Protection Needs of Iraqi Asylum-Seekers, Juli 2010, S. 2). Die Vorbringen des Beschwerdeführers betreffend die allgemeine Sicherheitslage im Nordirak vermögen demnach nicht zu überzeugen.</w:t>
      </w:r>
    </w:p>
    <w:p>
      <w:r>
        <w:rPr>
          <w:b/>
        </w:rPr>
        <w:t>E. 5.2.4</w:t>
      </w:r>
    </w:p>
    <w:p>
      <w:r>
        <w:t>Der Beschwerdeführer ist ein junger, alleinstehender Mann ohne aktenkundige gesundheitliche Probleme. Er ist kurdischer Ethnie und hat seit seiner Geburt bis zur Ausreise in Suleimaniya gelebt, wo auch seine Eltern und seine Geschwister ansässig sind. Nebst dem familiären Beziehungsnetz verfügt er an seinem Herkunftsort über weitere soziale Anknüpfungspunkte. Er hat in den letzten zweieinhalb Jahren vor seiner Ausreise in der (...) eines entfernten Verwandten gearbeitet und verfügt im Nordirak über weitere Verwandte und gute Freunde (vgl. vorinstanzliche Akten A 1 sowie A 15 S. 7). Vor diesem Hintergrund kann davon ausgegangen werden, dass er nach seiner Rückkehr in den Nordirak in der Lage sein wird, sich wiederum eine tragfähige Existenz aufzubauen. Es ist nicht davon auszugehen, dass er bei seiner Rückkehr in den Nordirak aus individuellen Gründen wirtschaftlicher, sozialer oder gesundheitlicher Natur in eine existenzbedrohende Situation geraten würde.</w:t>
      </w:r>
    </w:p>
    <w:p>
      <w:r>
        <w:rPr>
          <w:b/>
        </w:rPr>
        <w:t>E. 5.2.5</w:t>
      </w:r>
    </w:p>
    <w:p>
      <w:r>
        <w:t>Nach dem Gesagten erweist sich der Vollzug der Wegweisung sowohl aufgrund der allgemeinen Sicherheitslage in den drei kurdischen Provinzen als auch in individueller Hinsicht als zumutbar.</w:t>
      </w:r>
    </w:p>
    <w:p>
      <w:r>
        <w:rPr>
          <w:b/>
        </w:rPr>
        <w:t>E. 5.3</w:t>
      </w:r>
    </w:p>
    <w:p>
      <w:r>
        <w:t>Schliesslich obliegt es dem Beschwerdeführer, sich bei der zuständigen Vertretung des Heimatstaates die für eine Rückkehr notwendigen Reisedokumente zu beschaffen, weshalb der Vollzug der Wegweisung auch als möglich zu bezeichnen ist (Art. 83 Abs. 2 AuG).</w:t>
      </w:r>
    </w:p>
    <w:p>
      <w:r>
        <w:rPr>
          <w:b/>
        </w:rPr>
        <w:t>E. 6</w:t>
      </w:r>
    </w:p>
    <w:p>
      <w:r>
        <w:t>Insgesamt ist die durch die Vorinstanz verfügte Aufhebung der vorläufigen Aufnahme zu bestätigen. Die Vorinstanz hat den Vollzug der Wegweisung zu Recht als zulässig, zumutbar und möglich erachtet. Es erübrigt sich, auf die weiteren Ausführungen und Beilagen in der Eingabe des Beschwerdeführers einzugehen, da sie am Ausgang des Verfahrens nichts zu ändern vermögen.</w:t>
      </w:r>
    </w:p>
    <w:p>
      <w:r>
        <w:rPr>
          <w:b/>
        </w:rPr>
        <w:t>E. 7</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mit der Beschwerde gestellte Gesuch um Gewährung der unentgeltlichen Rechtspflege im Sinne von Art. 65 Abs. 1 VwVG ist abzuweisen. Gemäss dieser Bestimmung wird von der Erhebung von Verfahrenskosten abgesehen, wenn die Partei nicht über die erforderlichen Mittel verfügt und ihre Beschwerdevorbringen nicht aussichtslos erscheinen. Abklärungen des Bundesverwaltungsgericht haben ergeben, dass der Beschwerdeführer seit dem 26. Juni 2009 einer Erwerbstätigkeit als Officeangestellter nachgeht, so dass nicht davon auszugehen ist, er sei bedürftig.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