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E-6254/2015 vom 7. Oktober 2015</w:t>
      </w:r>
    </w:p>
    <w:p>
      <w:r>
        <w:t>Bundesverwaltungsgericht, 2015-10-07, DE</w:t>
      </w:r>
    </w:p>
    <w:p>
      <w:r>
        <w:rPr>
          <w:b/>
        </w:rPr>
        <w:t xml:space="preserve">Quelle: </w:t>
      </w:r>
      <w:r>
        <w:t>https://mcp.opencaselaw.ch/entscheid/bvger_E-6254_2015</w:t>
      </w:r>
    </w:p>
    <w:p>
      <w:r>
        <w:t>FR: TAF E-6254/2015 du 7 octobre 2015</w:t>
      </w:r>
    </w:p>
    <w:p>
      <w:r>
        <w:t>IT: TAF E-6254/2015 del 7 ottobre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w:t>
      </w:r>
    </w:p>
    <w:p>
      <w:r>
        <w:rPr>
          <w:b/>
        </w:rPr>
        <w:t>E. 1.2</w:t>
      </w:r>
    </w:p>
    <w:p>
      <w:r>
        <w:t>Die Frist zur Erhebung der Beschwerde beginnt ab der korrekten Eröffnung der Verfügung zu laufen. Der Beschwerdeführer macht geltend, die Verfügung sei zuerst an sein früheres Durchgangszentrum gesendet und ihm erst mit der Nachsendung an die Unterkunft, wo er sich jetzt aufhält, eröffnet worden. Aus den Akten geht hervor, dass die Verfügung tatsächlich zuerst an das frühere Durchgangszentrum gesendet wurde (SEM-Akten, A31/1). Die Unterbringung der Asylsuchenden ist Sache der Behörden und eine Zustellung an die falsche Adresse kann nicht dem Beschwerdeführer angelastet werden. Da ihm aus einer mangelhaften Eröffnung kein Nachteil erwachsen darf (Art. 38 VwVG), ist von einer Eröffnung erst nach dem 22. Oktober 2015 auszugehen. Auf die frist- und formgerecht eingereichte Beschwerde (Art. 108 Abs. 2 AsylG und Art. 52 Abs. 1 VwVG) ist demnach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Italien sei für die Durchführung des Asyl- und Wegweisungsverfahrens zuständig. Sein Wunsch, in der Schweiz zu bleiben, vermöge daran nichts zu ändern. Für einen Selbsteintritt der Schweiz aus humanitären Gründen würden keine Gründe vorliegen. Es würden keine Hinweise für einer Verletzung von Art. 3 EMRK bestehen.</w:t>
      </w:r>
    </w:p>
    <w:p>
      <w:r>
        <w:rPr>
          <w:b/>
        </w:rPr>
        <w:t>E. 4.2</w:t>
      </w:r>
    </w:p>
    <w:p>
      <w:r>
        <w:t>Der Beschwerdeführer macht geltend, auf die Anfrage der Vorinstanz hätten die italienischen Behörden nicht geantwortet. Spezifische Garantien für die Respektierung elementarster Menschenrechte würden deshalb nicht vorliegen. Die Zustände in Italien hätten sich in den letzten Jahren drastisch verschlechtert. Der Vorinstanz seien die strukturellen Mängel bekannt und trotzdem habe sie die erforderliche Prüfung unterlassen und keine Garantien, insbesondere auf Gewährung einer angemessenen Unterkunft, eingeholt. Damit verletzte sie Art. 3 EMRK. Ausserdem habe die Vorinstanz das rechtliche Gehör verletzt, da er zu seinen Fluchtgründen keine Stellung habe nehmen können.</w:t>
      </w:r>
    </w:p>
    <w:p>
      <w:r>
        <w:rPr>
          <w:b/>
        </w:rPr>
        <w:t>E. 4.3</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4.3.1</w:t>
      </w:r>
    </w:p>
    <w:p>
      <w:r>
        <w:t>Eine Verletzung des rechtlichen Gehörs liegt nicht vor, da die Vor­instanz im vorliegenden Verfahren einzig prüfen musste, ob sie für das Asyl- und Wegweisungsverfahren zuständig ist oder nicht. Dazu konnte der Beschwerdeführer Stellung nehmen (SEM-Akten, A14/7 S. 3). Eine materielle Prüfung seiner Fluchtgründe findet hingegen nicht statt.</w:t>
      </w:r>
    </w:p>
    <w:p>
      <w:r>
        <w:rPr>
          <w:b/>
        </w:rPr>
        <w:t>E. 4.3.2</w:t>
      </w:r>
    </w:p>
    <w:p>
      <w:r>
        <w:t>Die Vorinstanz hat aufgrund der Aussagen des Beschwerdeführers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des Beschwerdeführers hiergegen vermögen die Schlussfolgerung der Vorinstanz nicht umzustossen oder in Frage zu stellen.</w:t>
      </w:r>
    </w:p>
    <w:p>
      <w:r>
        <w:rPr>
          <w:b/>
        </w:rPr>
        <w:t>E. 4.3.3</w:t>
      </w:r>
    </w:p>
    <w:p>
      <w:r>
        <w:t>Zu den Vorbringen des Beschwerdeführers, die Zustände in Italien hätten sich drastisch verschlechtert, das Asylverfahren weise dramatische strukturelle Mängel auf und die Vorinstanz habe es versäumt, Garantien über die Einhaltung von elementaren Menschenrechten einzuholen, ist das Folgende festzuhalten: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Art. 3 Abs. 2 Satz 2 Dublin-III-VO greift nicht. Im Übrigen handelt es sich beim Beschwerdeführer nicht um eine besonders verletzliche Person, sondern um einen gesunden Mann.</w:t>
      </w:r>
    </w:p>
    <w:p>
      <w:r>
        <w:rPr>
          <w:b/>
        </w:rPr>
        <w:t>E. 4.4</w:t>
      </w:r>
    </w:p>
    <w:p>
      <w:r>
        <w:t>Die Vorinstanz ist somit zutreffend von der Zuständigkeit Italiens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AsylG). Die Beschwerde ist abzuweisen. Mit dem vorliegenden Urteil ist der Antrag auf Gewährung der aufschiebenden Wirkung sowie der Antrag, die Vollzugsbehörden seien anzuweisen, von Vollzugshandlungen abzusehen,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nach Art. 65 Abs. 1 VwVG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