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E-624/2013 vom 5. Dezember 2013</w:t>
      </w:r>
    </w:p>
    <w:p>
      <w:r>
        <w:t>Bundesverwaltungsgericht, 2013-12-05, DE</w:t>
      </w:r>
    </w:p>
    <w:p>
      <w:r>
        <w:rPr>
          <w:b/>
        </w:rPr>
        <w:t xml:space="preserve">Quelle: </w:t>
      </w:r>
      <w:r>
        <w:t>https://mcp.opencaselaw.ch/entscheid/bvger_E-624_2013</w:t>
      </w:r>
    </w:p>
    <w:p>
      <w:r>
        <w:t>FR: TAF E-624/2013 du 5 décembre 2013</w:t>
      </w:r>
    </w:p>
    <w:p>
      <w:r>
        <w:t>IT: TAF E-624/2013 del 5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Der Beschwerdeführer macht vorweg geltend, die Vorinstanz habe den Anspruch auf rechtliches Gehör in zweifacher Hinsicht verletzt.</w:t>
      </w:r>
    </w:p>
    <w:p>
      <w:r>
        <w:rPr>
          <w:b/>
        </w:rPr>
        <w:t>E. 3.2</w:t>
      </w:r>
    </w:p>
    <w:p>
      <w:r>
        <w:t>Soweit gerügt wird, die Vorinstanz habe keine Einsicht in die auf Aktenstück A16 aufgeführten Beweismittel gewährt, wurde die Rüge mit den Zwischenverfügungen vom 28. Februar 2013 und 13. März 2013 bereits antragsgemäss behandelt und die Akten wurden dem Beschwerdeführer zur Einsicht zugestellt (vgl. Bst. F). Die Einsichtnahme in eigene Eingaben der Partei, ihre als Beweismittel eingereichten Urkunden und ihr eröffnete Verfügungen darf nicht verweigert werden (Art. 27 Abs. 3 VwVG). Die Vorinstanz hat indes nicht die Einsicht verweigert, sondern einzig festgehalten, dass sie aus ökonomischen Gründen darauf verzichte, Kopien unwesentlicher oder bereits bekannter Aktenstücke zuzustellen (BFM-Akten, A24/1). Damit gab sie einen vom Akteneinsichtsgesuch nicht erfassten Grund an (BFM-Akten, A19/3). Das Gesuch um Akteneinsicht hat sie mit dem Verzicht nicht definitiv abschlägig entschieden, weshalb der Beschwerdeführer hätte anzeigen müssen, dass er weiterhin die Einsicht in sämtliche Akten begehrt. Denn das Gesetz vermittelt lediglich Anspruch der Partei darauf, die Akten am Sitz der verfügenden oder einer durch diese zu bezeichnenden kantonalen Behörde einzusehen (Art. 26 Abs. 1 e contrario VwVG), was dem Beschwerdeführer weiterhin offen gestanden hätte. Ein allfälliger Verfahrensfehler wurde jedenfalls auf Beschwerdeebene nachträglich geheilt, indem die Beweismittel dem Beschwerdeführer zugestellt wurden.</w:t>
      </w:r>
    </w:p>
    <w:p>
      <w:r>
        <w:rPr>
          <w:b/>
        </w:rPr>
        <w:t>E. 3.3</w:t>
      </w:r>
    </w:p>
    <w:p>
      <w:r>
        <w:t>Der Beschwerdeführer bringt weiter vor, der Anspruch auf rechtliches Gehör sei dadurch verletzt, dass die Vorinstanz die eingereichten Beweismittel nicht berücksichtigt habe. Parteien haben das Recht, mit erheblichen Beweisanträgen gehört zu werden, es sei denn, diese beträfen eine nicht erhebliche Tatsache oder seien offensichtlich untauglich, über die streitige Tatsache Beweis zu erbringen (BGE 124 I 241 E. 2 S. 242). Entgegen der Auffassung des Beschwerdeführers besteht indes kein Anspruch darauf, dass Beweismittel durch eine schweizerische Vertretung vor Ort überprüft werden. Der entsprechende Antrag ist abzuweisen. Auch verkennt er, dass die eingereichten Beweismittel sehr wohl berücksichtigt, aber teils als Fälschung, teils als unerheblich gewürdigt worden sind. Die Vorinstanz ging zutreffend davon aus, dass die medizinischen Unterlagen betreffend seine Brüder und seine Mutter für die Behandlung des Asylgesuchs offensichtlich unerheblich sind. Ferner durfte sie im Rahmen einer antizipierten Beweiswürdigung von einer eingehenderen Prüfung der Beweismittel absehen. Die Rüge der Verletzung des rechtlichen Gehörs erweist sich als unbegründet.</w:t>
      </w:r>
    </w:p>
    <w:p>
      <w:r>
        <w:rPr>
          <w:b/>
        </w:rPr>
        <w:t>E. 4.1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4.2</w:t>
      </w:r>
    </w:p>
    <w:p>
      <w:r>
        <w:t>Das Bundesverwaltungsgericht hat die Anforderungen an das Glaubhaftmachen der Vorbringen in einem jüngeren Entscheid dargelegt und folgt dabei ständiger Praxis. Darauf kann hier verwiesen werden (vgl. BVGE 2010/57 E. 2.2 und 2.3).</w:t>
      </w:r>
    </w:p>
    <w:p>
      <w:r>
        <w:rPr>
          <w:b/>
        </w:rPr>
        <w:t>E. 5.1</w:t>
      </w:r>
    </w:p>
    <w:p>
      <w:r>
        <w:t>Die Vorinstanz gelangt in der angefochtenen Verfügung zum Schluss, die Vorbringen des Beschwerdeführers hielten insgesamt den Anforderungen an das Glaubhaftmachen gemäss Art. 7 AsylG nicht stand. Die Aussagen seien widersprüchlich und bei den eingereichten Beweismitteln handle es sich um gefälschte Dokumente oder diese seien nicht geeignet, eine asylrelevante Verfolgung glaubhaft zu machen. Insbesondere habe der Beschwerdeführer widersprüchliche Angaben zu der Anzahl der Angriffe, zu den Angreifern und zum Angriff, welcher den Tod seines Bruders zur Folge gehabt habe, gemacht. Diese Widersprüche habe er auf Nachfrage hin nicht glaubhaft entkräften können, weshalb seinen Aussagen keinen Glauben geschenkt werden könne. Bei den eingereichten Polizeidokumenten fehle der Daumenabdruck des Informanten auf dem "Primary Details Statement". Gemäss englischer Übersetzung habe sich dieser am Ende des Dokuments zu befinden. Die Befürchtung des Beschwerdeführers, von Polizeiorganen verfolgt zu werden, sei somit haltlos. Die medizinischen Unterlagen betreffend seine Brüder und seine Mutter seien zudem für die Behandlung des Asylgesuchs irrelevant. Auf eine eingehende Würdigung der eingereichten Dokumente könne aufgrund der Unglaubhaftigkeit der Vorbringen verzichtet werden.</w:t>
      </w:r>
    </w:p>
    <w:p>
      <w:r>
        <w:rPr>
          <w:b/>
        </w:rPr>
        <w:t>E. 5.2</w:t>
      </w:r>
    </w:p>
    <w:p>
      <w:r>
        <w:t>Der Beschwerdeführer bringt im Wesentlichen vor, seine Aussagen würden nicht diametral voneinander abweichen, sondern in den wesentlichen Zügen übereinstimmen. Die englische Übersetzung des "Primary Details Statement" sei falsch, weil das Original nicht Unterschrift und (sondern: oder) Daumenabdruck verlange, was der Übersetzer bestätigt habe. Schliesslich erfülle er die Flüchtlingseigenschaft, da er von Dritten verfolgt werde und ihm kein adäquater Schutz seitens des Staates im Heimatland zur Verfügung stehe. Dies zeige sich darin, dass die Polizei seine Anzeigen nicht habe entgegennehmen wollen.</w:t>
      </w:r>
    </w:p>
    <w:p>
      <w:r>
        <w:rPr>
          <w:b/>
        </w:rPr>
        <w:t>E. 6.1</w:t>
      </w:r>
    </w:p>
    <w:p>
      <w:r>
        <w:t>Die Beweiswürdigung der Vorinstanz ist nicht zu beanstanden. Sie hat einlässlich begründet, weshalb die Vorbringen im Einzelnen unglaubhaft ausgefallen sind, und dabei den Massstab des Glaubhaftmachens nicht verkannt. Was der Beschwerdeführer dagegen einwendet, erschöpft sich in nachträglichen Erklärungsversuchen und Präzisierungen. Namentlich waren die Aussagen zum Angriff, welcher den Tod seines Bruders zur Folge hatte, widersprüchlich. Die Widersprüchlichkeit blieb unbestritten. Da der Angriff das eigentliche Kerngeschehen und den Hauptgrund für die Flucht bildet, lassen die widersprüchlichen Schilderungen zu Recht auf Unglaubhaftigkeit schliessen. Der Beschwerdeführer hat sich nämlich nicht nur an den genauen Ablauf nicht mehr erinnert, sondern die Erlebnisse fast gänzlich voneinander abweichend geschildert. Die eingereichten Beweismittel vermögen an diesem Beweisergebnis nichts zu ändern. Dabei kann offen bleiben, ob beim "Primary Details Statement" - wie der Beschwerdeführer vorbringt - ein Übersetzungsfehler vorliegt oder mit der Vorinstanz eine Fälschung anzunehmen ist, weil der Daumenabdruck fehlt. Eine angeblich fehlerhafte Übersetzung, die der Beschwerdeführer einreichte, hat jedenfalls nicht die Vorinstanz zu vertreten. Aber unabhängig von der Echtheit ist festzuhalten, dass der Beschwerdeführer aus den Polizeidokumenten nichts zu seinen Gunsten ableiten kann. Einerseits durfte die Vorinstanz davon absehen, sie einer näheren Überprüfung zu unterziehen, nachdem sich die Vorbringen als unglaubhaft erwiesen hatten. Andererseits wären die Dokumente selbst für den Fall, dass sie echt wären, nicht beweisgeeignet. Sie könnten höchstens die Eröffnung eines Strafverfahrens belegen, doch ist dies nicht geeignet, eine objektiv begründete Furcht vor staatlicher Verfolgung zu beweisen.</w:t>
      </w:r>
    </w:p>
    <w:p>
      <w:r>
        <w:rPr>
          <w:b/>
        </w:rPr>
        <w:t>E. 6.2</w:t>
      </w:r>
    </w:p>
    <w:p>
      <w:r>
        <w:t>Das Bundesverwaltungsgericht geht von der grundsätzlichen Schutzfähigkeit und vom Schutzwillen des bangladeschischen Staates aus (vgl. etwa die Urteile E-5266/2010 vom 9. Januar 2013 E. 6.1, E-3781/2011 vom 11. Juli 2011 S. 9 oder E-5806/2006 vom 11. September 2009 E. 6.3). Die Behauptung des Beschwerdeführers, er habe sich erfolglos an eine übergeordnete Polizeistelle gewendet, ist durch nichts belegt. Sie vermag auch deshalb nicht zu überzeugen, weil er immerhin im Besitz eines "General Diary" der unteren Polizeistelle war, das er der vorgesetzten Behörde hätte vorlegen können.</w:t>
      </w:r>
    </w:p>
    <w:p>
      <w:r>
        <w:rPr>
          <w:b/>
        </w:rPr>
        <w:t>E. 6.3</w:t>
      </w:r>
    </w:p>
    <w:p>
      <w:r>
        <w:t>Der Beschwerdeführer hat somit nichts vorgebracht, das geeignet wäre, die Flüchtlingseigenschaft nachzuweisen oder glaubhaft zu machen. Die Vorinstanz hat das Asylgesuch zu Recht abgelehnt.</w:t>
      </w:r>
    </w:p>
    <w:p>
      <w:r>
        <w:rPr>
          <w:b/>
        </w:rPr>
        <w:t>E. 7</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vom [AuG, SR 142.20]).</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Bangladesch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Bangladesch besteht keine Situation allgemeiner Gewalt, die für den Beschwerdeführer bei der Rückkehr eine konkrete Gefährdung darstellen würde. Der am 11. Januar 2007 durch die Regierung verhängte Ausnahmezustand wurde am 17. Dezember 2008 aufgehoben. Eine gänzlich unsichere, von bewaffneten Konflikten oder anderen unberechenbaren Unruhen dominierte Lage im Land, aufgrund derer der Beschwerdeführer sich bei einer Rückkehr unweigerlich einer konkreten Gefährdung ausgesetzt sehen würde, besteht mithin nicht (vgl. BVGE 2010/8 E. 9.5 S. 155 f., mit weiteren Hinweisen). Hinzu kommt, dass der Beschwerdeführer gemäss seinen eingereichten Unterlagen über eine qualifizierte Ausbildung mit dem Abschluss als "Bachelor of Science with Honours in Tourism and Hospitality Management" der Universität Dhaka verfügt. Der Vollzug der Wegweisung ist somit als zumutbar zu betrachten.</w:t>
      </w:r>
    </w:p>
    <w:p>
      <w:r>
        <w:rPr>
          <w:b/>
        </w:rPr>
        <w:t>E. 8.4</w:t>
      </w:r>
    </w:p>
    <w:p>
      <w:r>
        <w:t>Der Vollzug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Bei diesem Ausgang des Verfahrens hätte der Beschwerdeführer die Kosten zu tragen (Art. 63 Abs. 1 VwVG). Mit Verfügung vom 28. Februar 2013 wurde ihm die unentgeltliche Rechtspflege gewährt.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