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E-6249/2015 vom 7. Oktober 2015</w:t>
      </w:r>
    </w:p>
    <w:p>
      <w:r>
        <w:t>Bundesverwaltungsgericht, 2015-10-07, DE</w:t>
      </w:r>
    </w:p>
    <w:p>
      <w:r>
        <w:rPr>
          <w:b/>
        </w:rPr>
        <w:t xml:space="preserve">Quelle: </w:t>
      </w:r>
      <w:r>
        <w:t>https://mcp.opencaselaw.ch/entscheid/bvger_E-6249_2015</w:t>
      </w:r>
    </w:p>
    <w:p>
      <w:r>
        <w:t>FR: TAF E-6249/2015 du 7 octobre 2015</w:t>
      </w:r>
    </w:p>
    <w:p>
      <w:r>
        <w:t>IT: TAF E-6249/2015 del 7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der vorliegenden Beschwerde zuständig und entscheidet endgültig (Art. 83 Bst. d Ziff. 1 BGG; Art. 105 AsylG). Der Beschwerdeführer ist als Verfügungsadressat zur Beschwerdeführung legitimiert (Art. 48 VwVG). Auf die frist- und formgenügend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4</w:t>
      </w:r>
    </w:p>
    <w:p>
      <w:r>
        <w:t>Die Vorinstanz führt in der angefochtenen Verfügung zutreffend aus, dass die staatsvertragliche Zuständigkeit Italiens zur Durchführung des Asyl- und Wegweisungsverfahrens aufgrund der Angaben des Beschwerdeführers sowie des Umstands, dass die italienischen Behörden zum Übernahmegesuch keine Stellung genommen hätten, feststehe. Die grundsätzliche staatsvertragliche Zuständigkeit Italiens bleibt in der Beschwerde unbestritten.</w:t>
      </w:r>
    </w:p>
    <w:p>
      <w:r>
        <w:rPr>
          <w:b/>
        </w:rPr>
        <w:t>E. 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direkt anwendbar, sondern kann nur in Verbindung mit einer anderen Norm des nationalen oder internationalen Rechts angerufen werden (BVGE 2010/45 E. 5). Droht jedoch ein Verstoss gegen übergeordnetes Recht, namentlich ein Verstoss gegen eine zwingende Norm des Völkerrechts, so besteht ein einklagbarer Anspruch auf Ausübung des Selbsteintrittsrechts und entsprechend eine Pflicht, von einer Überstellung abzusehen und den Selbsteintritt auszuüben (BVGE 2010/45 E. 7.2).</w:t>
      </w:r>
    </w:p>
    <w:p>
      <w:r>
        <w:rPr>
          <w:b/>
        </w:rPr>
        <w:t>E. 6</w:t>
      </w:r>
    </w:p>
    <w:p>
      <w:r>
        <w:t>Es ist von der Vermutung auszugehen, Italien halte seine völker- und EUrechtlichen Verpflichtungen ein, halte sich insbesondere an das Rückschiebungsverbot sowie die Aufnahmevorschriften der EU. Der Beschwerdeführer bringt nichts vor, was geeignet wäre, diese Vermutung umzustossen. Bei der in der Beschwerde angerufenen Mitteilung der Vorsteherin des Eidgenössischen Justiz- und Polizeidepartments, 1500 Asylsuchende in der Schweiz aufzunehmen, handelt es sich entgegen der Beschwerde um eine blosse politische Willenskundgabe ohne Rechtswirkung. Daher vermag sie im vorliegenden Verfahren nicht zu einem anderen Ergebnis zu führen. Die Rüge der krassen Ermessensunterschreitung sowie der Unverhältnismässigkeit sind nach dem Gesagten offenkundig unbegründet. Folglich hat die Vorinstanz zu Recht festgestellt, dass in Würdigung der Aktenlage sowie der geltend gemachten Umstände keine Gründe vorlägen, welche einen Selbsteintritt der Schweiz rechtfertigten. Demnach besteht kein Anlass zur Rückweisung der Sache oder zur Anweisung der Vorinstanz zum Selbsteintritt.</w:t>
      </w:r>
    </w:p>
    <w:p>
      <w:r>
        <w:rPr>
          <w:b/>
        </w:rPr>
        <w:t>E. 7</w:t>
      </w:r>
    </w:p>
    <w:p>
      <w:r>
        <w:t>Die Vorinstanz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8</w:t>
      </w:r>
    </w:p>
    <w:p>
      <w:r>
        <w:t>Nach dem Gesagten ist die Beschwerde abzuweisen und die Verfügung des SEM zu bestätigen.</w:t>
      </w:r>
    </w:p>
    <w:p>
      <w:r>
        <w:rPr>
          <w:b/>
        </w:rPr>
        <w:t>E. 9</w:t>
      </w:r>
    </w:p>
    <w:p>
      <w:r>
        <w:t>Die gestellten Rechtsbegehren erweisen sich bei einer summarischen Prüfung der Akten als aussichtslos, weshalb das Gesuch um unentgeltliche Rechtspflege, einer allfälligen prozessualen Bedürftigkeit ungeachtet, in Anwendung von Art. 65 Abs. 1 VwVG abzuweisen ist. Die übrigen Prozessanträge sind mit dem vorliegenden Direktentscheid gegenstandslos geworden.</w:t>
      </w:r>
    </w:p>
    <w:p>
      <w:r>
        <w:rPr>
          <w:b/>
        </w:rPr>
        <w:t>E. 10</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