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E-6229/2012 vom 4. Dezember 2013</w:t>
      </w:r>
    </w:p>
    <w:p>
      <w:r>
        <w:t>Bundesverwaltungsgericht, 2013-12-04, DE</w:t>
      </w:r>
    </w:p>
    <w:p>
      <w:r>
        <w:rPr>
          <w:b/>
        </w:rPr>
        <w:t xml:space="preserve">Quelle: </w:t>
      </w:r>
      <w:r>
        <w:t>https://mcp.opencaselaw.ch/entscheid/bvger_E-6229_2012</w:t>
      </w:r>
    </w:p>
    <w:p>
      <w:r>
        <w:t>FR: TAF E-6229/2012 du 4 décembre 2013</w:t>
      </w:r>
    </w:p>
    <w:p>
      <w:r>
        <w:t>IT: TAF E-6229/2012 del 4 dicembre 2013</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 Auf die Durchführung eines Schriftenwechsels wurde verzichtet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Neue Zürcher Zeitung [NZZ] vom 4. Oktober 2013: "UNHCR überprüft Asyldossiers - zwei zurückgeschickte Tamilen seit Wochen in Haft"). Die Vorinstanz geht damit selbst davon aus, dass der Sachverhalt, wie er der Verfügung vom 16. November 2012 zugrunde liegt, offensichtlich nicht vollständig festgestellt ist. Denn es besteht kein Zweifel, dass eine neue Lagebeurteilung vor Ort sich auf die konkrete Feststellung des rechtserheblichen Sachverhalt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4.1</w:t>
      </w:r>
    </w:p>
    <w:p>
      <w:r>
        <w:t>Die Beschwerde ist demnach gutzuheissen. Die angefochtene Verfügung ist aufzuheben, die Sache ist zur vollständigen Sachverhaltsfeststellung sowie zu neuer Entscheidung an die Vorinstanz zurückzuweisen. Dem BFM werden die vorinstanzlichen Akten sowie das Beschwerdedossier, welches ebenfalls Prozessstoff des vorinstanzlichen Verfahrens bilden wird, zugestellt. Auf die weiteren Vorbringen in der Rechtsmit­telein­gabe ist aufgrund der vorliegenden Kassation zum heutigen Zeit­punkt nicht näher einzugehen.</w:t>
      </w:r>
    </w:p>
    <w:p>
      <w:r>
        <w:rPr>
          <w:b/>
        </w:rPr>
        <w:t>E. 4.2</w:t>
      </w:r>
    </w:p>
    <w:p>
      <w:r>
        <w:t>Die Rückweisung gilt praxisgemäss für die Frage der Auferlegung der Gerichtskosten wie auch der Parteientschädigung als vollständiges Obsiegen, unabhängig davon, ob sie überhaupt beantragt oder ob das entsprechende Begehren im Haupt- oder im Eventualantrag gestellt wird (vgl. BGE 137 V 210 E. 7.1, BGE 133 V 450 E. 13, je m.w.H.; Urteile des Bundesverwaltungsgericht E 1209/2011 vom 8. November 2011, D 4751/2009 vom 22. September 2010 sowie D 62/2010 vom 14. Januar 2010).</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mit Eingabe vom 27. Dezember 2012 eine Kostennote (mit Stand der Aufwendungen per 27. Dezember 2012) eingereicht. Der Aufwand für die kurze Eingabe vom 30. Dezember 2013 ist in dieser Kostennote nicht enthalten. Das Bundesverwaltungsgericht erachtet den in der Kostennote vom 27. Dezember 2012 ausgewiesenen zeitlichen Vertretungsaufwand - unter Berücksichtigung des geringen, nach Einreichen der Kostennote entstandenen Aufwandes - als nicht vollumfänglich angemessen, weshalb er zu reduzieren ist. Namentlich ist zu berücksichtigen, dass etliche Beweismittel (insbesondere Länderberichte) keinen individuellen Bezug zum Beschwerdeführer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worden. Zudem weist der Inhalt der Eingaben teilweise redundante Ausführungen auf. Unter Berücksichtigung der massgebenden Bemessungsfaktoren (Art. 9-13 VGKE) hat das BFM dem Beschwerdeführer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