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E-6218/2019 vom 8. Oktober 2020</w:t>
      </w:r>
    </w:p>
    <w:p>
      <w:r>
        <w:t>Bundesverwaltungsgericht, 2020-10-08, DE</w:t>
      </w:r>
    </w:p>
    <w:p>
      <w:r>
        <w:rPr>
          <w:b/>
        </w:rPr>
        <w:t xml:space="preserve">Quelle: </w:t>
      </w:r>
      <w:r>
        <w:t>https://mcp.opencaselaw.ch/entscheid/bvger_E-6218_2019</w:t>
      </w:r>
    </w:p>
    <w:p>
      <w:r>
        <w:t>FR: TAF E-6218/2019 du 8 octobre 2020</w:t>
      </w:r>
    </w:p>
    <w:p>
      <w:r>
        <w:t>IT: TAF E-6218/2019 del 8 ottobre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mit Ausnahme der nachfolgenden Ausführung einzutreten (Art. 108 Abs. 2 AsylG und Art. 52 Abs. 1 VwVG).</w:t>
      </w:r>
    </w:p>
    <w:p>
      <w:r>
        <w:rPr>
          <w:b/>
        </w:rPr>
        <w:t>E. 1.2</w:t>
      </w:r>
    </w:p>
    <w:p>
      <w:r>
        <w:t>Auf den Antrag auf Mitteilung betreffend die Bildung des Spruchkörpers ist nicht einzutreten (Teilurteil des BVGer D-1549/2017 vom 2. Mai 2018 E. 4.3).</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3.1</w:t>
      </w:r>
    </w:p>
    <w:p>
      <w:r>
        <w:t>In der Beschwerde werden formelle Rügen erhoben, welche vorab zu beurteilen sind,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bringt vor, die Vorinstanz habe das rechtliche Gehör verletzt, indem sie trotz bisher unbekannter oder neuer Sachverhalte und veränderter Ausgangslage keine erneute Anhörung durchgeführt habe. Dies widerspreche dem Rechtgutachten von Prof. Dr. Walter Kälin. Das Asylgesetz sieht für die ausserordentlichen Nachfolgeverfahren keine mündliche Anhörung vor (vgl. Art. 111b und Art. 111c AsylG). Folglich wird bei einem Mehrfachgesuch grundsätzlich keine mündliche Anhörung durchgeführt (vgl. BVGE 2014/39 E. 5.3 f.). Das Bundesverwaltungsgericht hat letztmals mit Urteil E-1502/2019 vom 21. Mai 2019 den Antrag auf eine erneute Anhörung des Beschwerdeführers abgewiesen. Die seither geltend gemachten Sachverhaltsveränderungen hat der Beschwerdeführer in seinem vierten Asylgesuch an die Vorinstanz ausführlich dargelegt; eine erneute Anhörung war nicht angezeigt. Beim vom Beschwerdeführer zitierten Rechtsgutachten handelt es sich lediglich um eine Empfehlung von Prof. Dr. Walter Kälin, aus welcher der Beschwerdeführer keine Ansprüche ableiten kann. Es liegt somit keine Verletzung des rechtlichen Gehörs vor.</w:t>
      </w:r>
    </w:p>
    <w:p>
      <w:r>
        <w:rPr>
          <w:b/>
        </w:rPr>
        <w:t>E. 3.4</w:t>
      </w:r>
    </w:p>
    <w:p>
      <w:r>
        <w:t>Der Beschwerdeführer moniert, die Vorinstanz habe den rechtserheblichen Sachverhalt unvollständig und unrichtig abgeklärt, da sie seine LTTE-Verbindungen, das exilpolitische Engagement, seinen Auslandaufenthalt, seine Kriegs- und Folternarben, die Behelligung seiner Mutter, die Herkunft aus dem Vanni-Gebiet, seine Gesundheit und die aktuelle Situation in Sri Lanka (Wahl von Gotabaya Rajapaksa zum Präsidenten, Kriegsverbrecher Shavendra Silva als Armeekommandant) nicht berücksichtigt habe.</w:t>
      </w:r>
    </w:p>
    <w:p>
      <w:r>
        <w:rPr>
          <w:b/>
        </w:rPr>
        <w:t>E. 3.5</w:t>
      </w:r>
    </w:p>
    <w:p>
      <w:r>
        <w:t>Das Bundesverwaltungsgericht prüfte in den Urteilen E-2344/2017, E-3667/2018 und E-1502/2019 mögliche Risikofaktoren des Beschwerdeführers und verneinte das Vorliegen eines Risikoprofils. Der Verweis der Vorinstanz auf diese Urteile und die Feststellung, seit dem letzten Urteil liege keine erheblich veränderte Sachlage vor, die eine Neubeurteilung begründen könnten, ist nicht zu beanstanden. Die Vorinstanz hat die geltend gemachte veränderte Lage in Sri Lanka in ihre Verfügung aufgenommen und geprüft. Die Rüge der mangelnden Sachverhaltsfeststellung erweist sich somit als unbegründet.</w:t>
      </w:r>
    </w:p>
    <w:p>
      <w:r>
        <w:rPr>
          <w:b/>
        </w:rPr>
        <w:t>E. 3.6</w:t>
      </w:r>
    </w:p>
    <w:p>
      <w:r>
        <w:t>Die Rüge der Verletzung der Begründungspflicht wird in der Beschwerde nicht begründet, weshalb nicht darauf einzugehen ist. Anzumerken bleibt, dass die Vorinstanz in ihrer Begründung alle Vorbringen des Beschwerdeführers einlässlich geprüft hat.</w:t>
      </w:r>
    </w:p>
    <w:p>
      <w:r>
        <w:rPr>
          <w:b/>
        </w:rPr>
        <w:t>E. 3.7</w:t>
      </w:r>
    </w:p>
    <w:p>
      <w:r>
        <w:t>Die formellen Rügen erweisen sich angesichts dieser Sachlage als unbegründet, weshalb keine Veranlassung besteht, die Sache aufzuheben und an die Vorinstanz zurückzuweisen. Die diesbezüglichen Rechtsbegehren sind somit abzuweisen.</w:t>
      </w:r>
    </w:p>
    <w:p>
      <w:r>
        <w:rPr>
          <w:b/>
        </w:rPr>
        <w:t>E. 4.1</w:t>
      </w:r>
    </w:p>
    <w:p>
      <w:r>
        <w:t>Der Beschwerdeführer stellt für den Fall einer materiellen Beurteilung seiner Beschwerde durch das Bundesverwaltungsgericht folgende Beweisanträge: Er sei erneut betreffend die geltend gemachten Sachverhalte (anhaltendes Verfolgungsinteresse; verschlechterte Sicherheits- und Menschenrechtslage in Sri Lanka) anzuhören. Die Vorinstanz habe offenzulegen, auf welche Quellen sie sich bei der Beurteilung der aktuellen Lage in Sri Lanka stütze. In der Replik beantragte er zudem, Einsicht in die Akte A27 der Verfahrensakten seiner Freundin (N [...]) zu erhalten.</w:t>
      </w:r>
    </w:p>
    <w:p>
      <w:r>
        <w:rPr>
          <w:b/>
        </w:rPr>
        <w:t>E. 4.2</w:t>
      </w:r>
    </w:p>
    <w:p>
      <w:r>
        <w:t>Der Antrag auf erneute Anhörung des Beschwerdeführers ist mit Verweis auf Erwägung 3.3 und angesichts der ausführlichen Eingaben im vor-instanzlichen Verfahren und im Beschwerdeverfahren abzuweisen. Der Antrag auf Einsicht in die nicht öffentlichen Quellen des vorinstanzlichen Lagebildes von Sri Lanka ist ebenfalls abzuweisen (vgl. Urteile des BVGer E-626/2018 vom 9. Juli 2018 E. 5; D-109/2018 vom 16. Mai 2018 E. 6.2). Mit Zwischenverfügung vom 29. November 2019 erhielt der Beschwerdeführer Einsicht in die Asylakten seiner angeblichen Freundin (N [...]). Bei der Akte A27 handelt es sich um eine interne Akte, welche nicht dem Akteneinsichtsrecht unterliegt. Der Antrag auf Einsicht in die Akte A27 (N [...]) ist folglich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zur Begründung der Verfügung aus, gemäss den letzten drei Asylentscheiden und den entsprechenden Urteilen des Bundesverwaltungsgerichts vom 25. September 2017 (E-2344/2017), vom 4. September 2018 (E-3667/2018) und vom 21. Mai 2019 (E-1502/2019) genügten die früheren Asylvorbringen nicht zur Annahme der Flüchtlingseigenschaft. Das Vorliegen stark risikobegründender Faktoren sei abgelehnt worden. Im Zusammenhang mit den Anschlägen am 21. April 2019 sei auf die Rechtsprechung des Bundesverwaltungsgerichts verwiesen, wonach eine bloss abstrakte Gefahr vor verschärften behördlichen Massnahmen ohne persönlichen Konnex zu den Anschlägen die Anforderungen an die Annahme einer begründeten Verfolgungsfurcht nicht erfüllten. Der Beschwerdeführer weise keinen Bezug zu den Anschlägen auf und würde dessen auch nicht verdächtigt. Das Gleiche gelte für die Vorbringen bezüglich der Ernennung von Shavendra Silva zum Armeechef und den dargelegten erweiterten Machtkompetenzen des Militärs und der Sicherheitsbehörden. Die eingereichten Beweismittel würden die allgemeine Lage in Sri Lanka abbilden und keinen individuellen Bezug zum Beschwerdeführer aufweisen. Bei den zitierten Urteilen E-133/2018 und D-3127/2018 habe das Bundesverwaltungsgericht im Einzelfall abgewogen, ob die glaubhaft gemachten Risikofaktoren eine asylrechtliche Gefährdung darstellten, und eine solche Gefährdung bejaht. Ein Analogieschluss sei nicht möglich, da der vorliegende Fall anders gelagert sei. Das Gericht habe in diesen Fällen auch keine andere Lagebeurteilung vorgenommen, aufgrund derer die Flüchtlingseigenschaft zugesprochen worden wäre. Das Vorbringen, seine Mutter sei im Frühjahr 2019 von angeblichen Vertretern der Schweizer Botschaft und Personen des CID aufgesucht worden, sei eine unbewiesene Parteibehauptung. Zudem lasse sich daraus keine asylrelevante Gefährdung des Beschwerdeführers ableiten</w:t>
      </w:r>
    </w:p>
    <w:p>
      <w:r>
        <w:rPr>
          <w:b/>
        </w:rPr>
        <w:t>E. 6.2</w:t>
      </w:r>
    </w:p>
    <w:p>
      <w:r>
        <w:t>. Ein seit dem Urteil vom 21. Mai 2019 (E-1502/2019) verstärktes exilpolitisches Engagement sei nicht ersichtlich. Insgesamt seien seine Vorbringen nicht geeignet, eine Neubeurteilung der Sachlage zu bewirken; er erfülle die Flüchtlingseigenschaft nicht.</w:t>
      </w:r>
    </w:p>
    <w:p>
      <w:r>
        <w:rPr>
          <w:b/>
        </w:rPr>
        <w:t>E. 6.3</w:t>
      </w:r>
    </w:p>
    <w:p>
      <w:r>
        <w:t>Der Beschwerdeführer macht geltend, das Bundesverwaltungsgericht habe in den Urteilen E-133/2018 und D-3127/2018 festgehalten, die Sicherheitslage in Sri Lanka habe sich gegenüber der Zeitspanne zwischen 2013 und 2015 so stark verschlechtert, dass Personen, die damals wegen ihrer Vorgeschichte nach der Wiedereinreise aus dem Exil nicht verfolgt worden seien, bei einer heutigen Rückkehr nach Sri Lanka als asylrelevant gefährdet gelten müssten. Er weise ein vergleichbares Risikoprofil auf. Personen, die sich als Angehörige der Schweizer Botschaft ausgegeben hätten, sowie Personen des CID hätten sich im Frühjahr 2019 bei seiner Mutter nach seinem Verbleib erkundigt. Hierbei handle es sich um Massnahmen zur Informationsbeschaffung und Einschüchterung, welche zeigten, dass nach wie vor ein Verfolgungsinteresse an ihm bestehe. Seine Freundin habe im Oktober 2019 ein Asylgesuch in der Schweiz gestellt und Asyl erhalten. Gemäss ihren Aussagen sei sie aufgrund der Vorgeschichte des Beschwerdeführers in Sri Lanka verfolgt worden. Die Wahl von Gotabaya Rajapaksa zum Präsidenten habe die Gefährdungslage für die tamilische Minderheit markant erhöht. Er habe an einer Demonstration teilgenommen und dabei ein Bild von Rajapaksa getragen. Er erfülle die Risikofaktoren. In der Beschwerdeergänzung fügt der Beschwerdeführer an, die Vorbringen seiner Freundin in der Anhörung zu ihren Asylgründen, sie sei vom Vater missbraucht und wäre allenfalls zwangsverheiratet worden, seien nicht asylrelevant. Als Hauptgrund habe sie die Beziehung zu ihm im Jahr 2012 genannt, welche zu zwei Belangungen des CID geführt hätten. Die Freundin habe innert kürzester Zeit Asyl erhalten. Es könne nicht sein, dass einer Person wegen einer Person aufgrund einer Reflexverfolgung Asyl gewährt werde, während der Person, auf welche die Reflexverfolgung zurückgehe, die Flüchtlingseigenschaft abgesprochen werde.</w:t>
      </w:r>
    </w:p>
    <w:p>
      <w:r>
        <w:rPr>
          <w:b/>
        </w:rPr>
        <w:t>E. 6.4</w:t>
      </w:r>
    </w:p>
    <w:p>
      <w:r>
        <w:t>Die Vorinstanz führt in der Vernehmlassung aus, der Freundin des Beschwerdeführers sei aufgrund ihrer geschlechterspezifischer Vorbringen Asyl gewährt worden. Nach langjähriger Praxis könne eine geschlechterspezifische Verfolgung zur Gewährung der Flüchtlingseigenschaft führen, wenn kein staatlicher Schutz und keine innerstaatlichen Schutzalternativen zur Verfügung stünden. Diese Vorbringen stünden in keinem Zusammenhang mit dem Beschwerdeführer. Der Beschwerdeführer habe zudem im Rahmen seiner sieben Verfahren nie von einer Freundin gesprochen, die seinetwegen Probleme mit dem CID gehabt habe. Er habe lediglich Probleme seiner Mutter geltend gemacht. Die Existenz der Freundin habe er erstmals im Rahmen seiner Beschwerde vom 25. November 2019 geltend gemacht. Aber selbst in der Beschwerde habe er nur ihre Asylgesuchstellung erwähnt und nicht, dass sie wegen ihm Probleme mit dem CID gehabt habe.</w:t>
      </w:r>
    </w:p>
    <w:p>
      <w:r>
        <w:rPr>
          <w:b/>
        </w:rPr>
        <w:t>E. 6.5</w:t>
      </w:r>
    </w:p>
    <w:p>
      <w:r>
        <w:t>Der Beschwerdeführer gibt in der Replik an, die Vorinstanz habe in der Vernehmlassung nicht nachvollziehbar darlegen können, weshalb seiner Freundin Asyl gewährt worden sei. Er habe seine Freundin in den Asylverfahren nicht erwähnt, weil ihre Beziehung nicht asylrelevant gewesen sei und nichts mit seiner Fluchtgeschichte zu tun gehabt habe. Sein Rechtsvertreter habe sich in der Beschwerde nicht ausführlich zu seiner Freundin geäussert, weil er damals noch keine Einsicht in ihre Asylakten gehabt habe und keine nicht verifizierten Angaben zur Verfolgung seiner Freundin habe machen wollen.</w:t>
      </w:r>
    </w:p>
    <w:p>
      <w:r>
        <w:rPr>
          <w:b/>
        </w:rPr>
        <w:t>E. 7.1</w:t>
      </w:r>
    </w:p>
    <w:p>
      <w:r>
        <w:t>Die Vorinstanz hat zu Recht festgestellt, das Bundesverwaltungsgericht habe in den Urteilen E-133/2018 und D-3127/2018 keine neue Lagebeurteilung gemacht. In den Urteilen wurden die Risikofaktoren aufgrund einer Einzelfallprüfung (beispielsweise wegen jahrelanger Teilnahme am Bürgerkrieg als LTTE-Kämpfer) bejaht. Der Beschwerdeführer kann daraus nichts zu seinen Gunsten ableiten, da die Umstände nicht vergleichbar sind. Der Beschwerdeführer brachte bereits im ersten Asylverfahren vor, das CID habe sich bei seiner Mutter nach ihm erkundigt. Das Bundesverwaltungsgericht erachtete dies im Urteil E-2344/2017 für unglaubhaft. Das erneute Vorbringen, seine Mutter sei im Frühjahr 2019 von Personen, die sich als Angehörige der Schweizer Botschaft ausgegeben hätten, und von Personen des CID aufgesucht worden, wird nicht weiter belegt. Zudem ist angesichts der Sachlage nicht nachvollziehbar, weshalb das CID knapp sechs Jahre nach seiner Ausreise nach ihm suchen sollte. Die Behelligungen der Mutter sind demnach nicht glaubhaft. Seine angebliche Freundin hat im November 2019 Asyl in der Schweiz erhalten. Der Beschwerdeführer erwähnte in den Asylverfahren nie eine Freundin in Sri Lanka, welche wegen ihm Probleme mit dem CID gehabt habe. Seine Erklärung, ihre Beziehung habe nichts mit seiner Fluchtgeschichte zu tun gehabt, überzeugt nicht. Wenn die Freundin wegen ihm Probleme mit dem CID gehabt hätte, bestünde ein offensichtlicher Zusammenhang zu seiner Fluchtgeschichte. Der Beschwerdeführer hat denn auch mehrmals geltend gemacht, seine Mutter sei wegen ihm durch das CID aufgesucht worden. Wieso er dies erwähnte, gleichzeitig aber die angeblichen Behelligungen der Freundin unerwähnt liess, ist nicht nachvollziehbar. Die angeblichen Behelligungen der Freundin wegen ihm durch das CID sind somit als unglaubhaft einzustufen. Folglich gibt es keine Anhaltspunkte dafür, dass dem Beschwerdeführer bei einer Rückkehr nach Sri Lanka asylrelevante Nachteile drohen würden.</w:t>
      </w:r>
    </w:p>
    <w:p>
      <w:r>
        <w:rPr>
          <w:b/>
        </w:rPr>
        <w:t>E. 7.2</w:t>
      </w:r>
    </w:p>
    <w:p>
      <w:r>
        <w:t>An dieser Einschätzung ändern weder der Regierungswechsel vom 16. November 2019 noch die Verhaftung einer sri-lankischen Mitarbeiterin der Schweizerischen Botschaft in Colombo am 25. November 2019 etwas, da diesbezüglich kein individueller Bezug zum Beschwerdeführer ersichtlich ist.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08.09.2020).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https://www.aninews.in/news/world/asia/sri-lanka-35-including-presidents-brother-chamal-rajapksa-sworn-in-as-ministers-of-tate20191127174753/, abgerufen am 08.09.2020).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war in seiner Heimat keiner behördlichen Verfolgung ausgesetzt. Seine Vorbringen, er werde in der Heimat gesucht, sind allesamt unglaubhaft. Es sind auch sonst keine Anhaltspunkte dafür ersichtlich, dass er im aktuellen politischen Kontext in Sri Lanka in den Fokus der sri-lankischen Behörden geraten könnte und mit asylrelevanter Verfolgung zu rechnen hätte. An dieser Einschätzung vermögen auch die eingereichten Artikel zur Lage in Sri Lanka nichts zu ändern.</w:t>
      </w:r>
    </w:p>
    <w:p>
      <w:r>
        <w:rPr>
          <w:b/>
        </w:rPr>
        <w:t>E. 7.3</w:t>
      </w:r>
    </w:p>
    <w:p>
      <w:r>
        <w:t>Der Beschwerdeführer reichte als Beleg für seine exilpolitische Tätigkeit ein Foto einer Demonstrationsteilnahme ein. Dies genügt nicht, um von der Einschätzung des Bundesverwaltungsgerichts im Urteil E-3667/2018 abzuweichen, wonach seine exilpolitische Tätigkeit als niederschwellig einzustufen ist (E. 11.4). Es liegt somit kein subjektiver Nachfluchtgrund vor.</w:t>
      </w:r>
    </w:p>
    <w:p>
      <w:r>
        <w:rPr>
          <w:b/>
        </w:rPr>
        <w:t>E. 7.4</w:t>
      </w:r>
    </w:p>
    <w:p>
      <w:r>
        <w:t>In den Urteilen E-2344/2017 und E-3667/2018 wurden die im Referenzurteil E-1866/2015 festgehaltenen Risikofaktoren geprüft und festgestellt, der Beschwerdeführer weise kein Risikoprofil auf. Auch unter Berücksichtigung der in diesem Verfahren eingereichten Beweismittel, welche sich im Wesentlichen auf die allgemeine Situation in Sri Lanka beziehen ohne einen konkreten Bezug zum Beschwerdeführer zu haben, besteht kein Grund, von dieser Einschätzung abzuweichen. Es sind aufgrund der derzeitigen Aktenlage keine Hinweise dafür ersichtlich, dass er ins Visier der sri-lankischen Behörden geraten könnte und diese ein potenzielles Verfolgungsinteresse an ihm haben könnten.</w:t>
      </w:r>
    </w:p>
    <w:p>
      <w:r>
        <w:rPr>
          <w:b/>
        </w:rPr>
        <w:t>E. 7.5</w:t>
      </w:r>
    </w:p>
    <w:p>
      <w:r>
        <w:t>Zusammenfassend hat der Beschwerdeführer weder Vor- noch Nachfluchtgründe nachgewiesen oder zumindest glaubhaft gemacht. Die Vor-instanz hat ihm daher zu Recht die Flüchtlingseigenschaft nicht zuerkannt und sein viertes Asylgesuch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Abs. 1 AsylV; SR 142.31).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11.1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 7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bringt keine neuen Gründe vor, die den Wegweisungsvollzug in individueller Hinsicht für unzumutbar erscheinen lassen würden. Es kann vollumfänglich auf die Erwägungen zur Zumutbarkeit in den vorangegangenen Urteilen (insbesondere E-3667/2018 und 1E-2344/2017) verwiesen werden.</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9.5</w:t>
      </w:r>
    </w:p>
    <w:p>
      <w:r>
        <w:t>Die Vorinstanz hat somit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