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E-6217/2014 vom 5. November 2014</w:t>
      </w:r>
    </w:p>
    <w:p>
      <w:r>
        <w:t>Bundesverwaltungsgericht, 2014-11-05, DE</w:t>
      </w:r>
    </w:p>
    <w:p>
      <w:r>
        <w:rPr>
          <w:b/>
        </w:rPr>
        <w:t xml:space="preserve">Quelle: </w:t>
      </w:r>
      <w:r>
        <w:t>https://mcp.opencaselaw.ch/entscheid/bvger_E-6217_2014</w:t>
      </w:r>
    </w:p>
    <w:p>
      <w:r>
        <w:t>FR: TAF E-6217/2014 du 5 novembre 2014</w:t>
      </w:r>
    </w:p>
    <w:p>
      <w:r>
        <w:t>IT: TAF E-6217/2014 del 5 novembre 2014</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diese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auf die Durchführung eines Schriftenwechsels wurde verzichtet (Art. 111a Abs. 1 AsylG).</w:t>
      </w:r>
    </w:p>
    <w:p>
      <w:r>
        <w:rPr>
          <w:b/>
        </w:rPr>
        <w:t>E. 4</w:t>
      </w:r>
    </w:p>
    <w:p>
      <w:r>
        <w:t>Gemäss Art. 51 Abs. 1 AsylG werden Ehegatten von Flüchtlingen und deren min­derjährige Kinder als Flüchtlinge anerkannt und erhalten Asyl, sofern keine beson­deren Umstände dagegen sprechen. Beson­dere Umstände sind beispielsweise anzuneh­men, wenn das Familien­mitglied Bürger eines anderen Staates als der Flüchtling und die Familie in diesem Staat nicht gefährdet ist, wenn der Flüchtling seinen Status derivativ erworben hat, oder wenn das Familienleben während längerer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vom anerkannten Flüchtling getrennt wurden (vgl. dazu Entscheidun­gen und Mitteilungen der Schweizeri­schen Asylrekurskommission [EMARK] 2006 Nr. 7 E. 5.4. und 6.1.).</w:t>
      </w:r>
    </w:p>
    <w:p>
      <w:r>
        <w:rPr>
          <w:b/>
        </w:rPr>
        <w:t>E. 5.1</w:t>
      </w:r>
    </w:p>
    <w:p>
      <w:r>
        <w:t>Das BFM führte zur Begründung des angefochtenen Entscheides aus, die Tochter des Beschwerdeführers habe zum Zeitpunkt der Gesuchseinreichung bereits die Volljährigkeit erreicht und falle deshalb nicht unter Art. 51 Abs. 1 AsylG. Demzufolge sei das Erfordernis der Minderjährigkeit des Kindes nicht erfüllt; das Gesuch um Familienzusammenführung sei abzuweisen.</w:t>
      </w:r>
    </w:p>
    <w:p>
      <w:r>
        <w:rPr>
          <w:b/>
        </w:rPr>
        <w:t>E. 5.2</w:t>
      </w:r>
    </w:p>
    <w:p>
      <w:r>
        <w:t>Der Beschwerdeführer macht demgegenüber geltend, er habe erst fast fünf Jahre nach Einreichung seines Asylgesuches den positiven Asylentscheid erhalten und danach sofort das Gesuch um Familienzusammenführung mit allen erforderlichen Unterlagen eingereicht. Seine älteste Tochter sei (...) vor dem Asylentscheid 18 Jahre alt geworden. Es sei für ihn sehr schwierig gewesen, so lange auf den Asylentscheid warten zu müssen. Er arbeite seit (...), um sein Leben selber zu finanzieren. Jetzt sei es noch einmal schwierig, da er das Gesuch um Familiennachzug rechtzeitig hätte einreichen können, wenn sein Asylentscheid nur wenig früher gefällt worden wäre. Seine Tochter könne nicht alleine in Sri Lanka zurückbleiben. Sie studiere und habe, wenn die Mutter ausreise, niemanden mehr, der sie beschütze. Eine Frau könne sich in Sri Lanka nicht alleine bewegen, sie sei häufigen Kontrollen und sexuellen Übergriffen ausgesetzt. Er habe seine Familie seit sechs Jahren nicht mehr gesehen, habe Schlimmes erlebt in seinem Heimatland und mache sich grosse Sorgen. Er liebe die Schweiz und möchte nichts mehr, als dass seine Frau und Kinder hier in Sicherheit leben, lernen und arbeiten könnten. Er halte es fast nicht mehr aus, alleine hier zu sein und zu wissen, wie schwierig es dort für seine Familie sei. Der Beschwerdeführer bestreitet nicht, dass seine Tochter zum Zeitpunkt der Gesuchseinreichung bereits volljährig war. Damit ist eine der gesetzlichen Voraussetzungen von Art. 51 Abs. 1 AsylG nicht erfüllt. Die Familienzusammenführung in der Schweiz ist daher nicht möglich, selbst unter Berücksichtigung, dass dieser Ausgang des Verfahrens die Familie, wie in der Beschwerde dargelegt, in eine schwierige Situation bringt.</w:t>
      </w:r>
    </w:p>
    <w:p>
      <w:r>
        <w:rPr>
          <w:b/>
        </w:rPr>
        <w:t>E. 6</w:t>
      </w:r>
    </w:p>
    <w:p>
      <w:r>
        <w:t>Aus dem vorstehend Ausgeführten ergibt sich, dass die angefochtene Verfügung Bundesrecht nicht verletzt und auch sonst nicht zu beanstanden ist (Art. 106 Abs. 1 AsylG). Die Beschwerde ist abzuweisen.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