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E-6211/2007 vom 20. Juli 2009</w:t>
      </w:r>
    </w:p>
    <w:p>
      <w:r>
        <w:t>Bundesverwaltungsgericht, 2009-07-20, DE</w:t>
      </w:r>
    </w:p>
    <w:p>
      <w:r>
        <w:rPr>
          <w:b/>
        </w:rPr>
        <w:t xml:space="preserve">Quelle: </w:t>
      </w:r>
      <w:r>
        <w:t>https://mcp.opencaselaw.ch/entscheid/bvger_E-6211_2007</w:t>
      </w:r>
    </w:p>
    <w:p>
      <w:r>
        <w:t>FR: TAF E-6211/2007 du 20 juillet 2009</w:t>
      </w:r>
    </w:p>
    <w:p>
      <w:r>
        <w:t>IT: TAF E-6211/2007 del 20 luglio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form- und fristgerecht eingereichte Beschwerde ist somit einzutreten (Art. 6 AsylG i.V.m. Art. 48 Abs. 1, Art. 50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Am 1. Januar 2008 ist das Bundesgesetzes über die Ausländerinnen und Ausländer vom 16. Dezember 2005 [AuG, SR142.20] in Kraft getreten; gleichzeitig ist das Bundesgesetz vom 26. März 1931 über Aufenthalt und Niederlassung der Ausländer (ANAG, BS 1 121) aufgehoben worden (vgl. Art. 125 i.V.m. Anhang Ziff I AuG). Gemäss Art. 126a Abs. 4 AuG gilt unter Vorbehalt der Absätze 5-7 für Personen, die im Zeitpunkt des Inkrafttretens der Änderung vom 16. Dezember 2005 des AsylG sowie des AuG vorläufig aufgenommen sind, neues Recht. Die Beschwerdeführenden wurden vom Bundesamt mit Verfügung vom 23. November 2001 gestützt auf Art. 44 Abs. 2 AsylG in der Fassung vom 26. Juni 1998 (AS 1999 2273) i.V.m. Art. 14a Abs. 4 ANAG vorläufig aufgenommen. Aufgrund der übergangsrechtlichen Regelung von Art. 126a Abs. 4 AuG ist im vorliegenden Beschwerdeverfahren demnach zu prüfen, ob die Voraussetzungen für die Aufhebung der vorläufigen Aufnahme nach neuem Recht, mithin nach Art. 84 Abs. 2 AuG vorliegen.</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3.3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3.4</w:t>
      </w:r>
    </w:p>
    <w:p>
      <w:r>
        <w:t>Die Vorinstanz wies in der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Kosovo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3.5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4.1</w:t>
      </w:r>
    </w:p>
    <w:p>
      <w:r>
        <w:t>Das BFM führte in der angefochtenen Verfügung aus, im Kosovo habe sich die Sicherheitssituation dank des KFOR-Einsatzes verbessert oder zumindest stabilisiert. Die Wahrscheinlichkeit einer konkreten Gefährdung könne für albanischsprachige Roma, Ashkali und Ägypter - mit Ausnahme einiger Dörfer beziehungsweise Gemeinden - alleine aufgrund der Ethnie ausgeschlossen werden. Zudem sei für diese Ethnien die Bewegungsfreiheit im ganzen Kosovo, sowie der Zugang zu den medizinischen und sozialen Strukturen gewährleistet. Diese Einschätzung der Sicherheitslage werde vorliegend durch die Aussagen der Eltern des Beschwerdeführers bestätigt. In Anbetracht der angespannten wirtschaftlichen Lage im Kosovo, die im besonderen auch die ethnischen Minderheiten betreffe, werde die Schaffung einer neuen Existenz für die Beschwerdeführenden mit gewissen Schwierigkeiten verbunden sein. Aufgrund der Akten sei indes erstellt, dass der Beschwerdeführer vor der Ausreise als (...) gearbeitet habe. In der Schweiz sei er jetzt als (...) tätig. Er könne somit auf eine mehrjährige berufliche Erfahrung zurückgreifen. Zudem habe er gegenwärtig die Möglichkeit, sich in der Schweiz weiterzubilden, was ihm die wirtschaftliche Wiedereingliederung im Kosovo erleichtern soll. Dem jungen, gesunden und arbeitsfähigen Beschwerdeführer sei es zumutbar und möglich, im Kosovo für sich und seine Familie eine neue Existenz aufzubauen. Mit ihren Eltern und mehreren Geschwistern würden die Beschwerdeführenden zudem über ein tragfähiges Beziehungsnetz verfügen. Sollten die Beschwerdeführenden keinen eigenen Wohnraum zur Verfügung haben, sei es den Eltern der Beschwerdeführerin durchaus zumutbar und möglich, die Familie in der ersten Zeit nach der Rückkehr bei sich zu beherbergen. Sodann könnten die Beschwerdeführenden vom Rückkehrhilfsprogramm des BFM profitieren. Schliesslich könne betreffend den Beschwerdeführer nicht von einer dauerhaften beruflichen Integration in der Schweiz gesprochen werden. Eine Rückkehr sei daher zumutbar, zumal die Beschwerdeführenden den grössten Teil ihres Lebens, einschliesslich der prägenden Jugend im Heimatland verbracht hätten.</w:t>
      </w:r>
    </w:p>
    <w:p>
      <w:r>
        <w:rPr>
          <w:b/>
        </w:rPr>
        <w:t>E. 4.2</w:t>
      </w:r>
    </w:p>
    <w:p>
      <w:r>
        <w:t>In der Rechtsmitteleingabe wird der vorinstanzliche Schluss bestritten und unter Verweis auf Berichte der Schweizerischen Flüchtlingshilfe sowie von Menschenrechtsorganisationen ausgeführt, angesichts der Lage im Kosovo sei der Vollzug der Wegweisung für die Beschwerdeführenden als ethnische Ägypter nicht zumutbar. Sodann habe sich der Beschwerdeführer ernsthaft um eine Integration in der Schweiz bemüht. Die beiden älteren Kinder würden die Schule besuchen und (...) Dialekt sprechen.</w:t>
      </w:r>
    </w:p>
    <w:p>
      <w:r>
        <w:rPr>
          <w:b/>
        </w:rPr>
        <w:t>E. 4.3</w:t>
      </w:r>
    </w:p>
    <w:p>
      <w:r>
        <w:t>Bereits die Schweizerische Asylrekurskommission (ARK) erachtete in ihrer letzten Lagebeurteilung den Vollzug der Wegweisung von albanischsprachigen Roma, Ashkali und Ägyptern als grundsätzlich zulässig und zumutbar, sofern eine Einzelfallabklärung vor Ort (insbesondere über das Verbindungsbüro im Kosovo) ergab, dass bestimmte Kriterien erfüllt waren (vgl. dazu Entscheidungen und Mitteilungen der ARK [EMARK] 2006 Nr. 10). Gegenstand der Prüfung waren namentlich berufliche Ausbildung, Gesundheitszustand, Alter, wirtschaftliche Lebensgrundlage sowie soziales oder verwandtschaftliches Beziehungsnetz.</w:t>
      </w:r>
    </w:p>
    <w:p>
      <w:r>
        <w:rPr>
          <w:b/>
        </w:rPr>
        <w:t>E. 4.4</w:t>
      </w:r>
    </w:p>
    <w:p>
      <w:r>
        <w:t>Diese Beurteilung der ARK hat heute nach wie vor ihre Gültigkeit (vgl. BVGE 2007/10 E. 5.3 ff. S. 111 f.; anstelle von vielen das Urteil des Bundesverwaltungsgerichts vom 15. April 2009 D-5780/2006 E. 4.1), zumal die gesellschaftliche, wirtschaftliche und politische Lage in Kosovo auch nach dessen Unabhängigkeitserklärung vorerst keine massgeblichen Veränderungen erfahren hat.</w:t>
      </w:r>
    </w:p>
    <w:p>
      <w:r>
        <w:rPr>
          <w:b/>
        </w:rPr>
        <w:t>E. 4.5</w:t>
      </w:r>
    </w:p>
    <w:p>
      <w:r>
        <w:t>Nach den Erkenntnissen des Bundesverwaltungsgerichts sind die kosovarischen Roma, Ashkali und Ägypter noch immer sozialen und ökonomischen Diskriminierungen. Insbesondere liegt aber ihre Arbeitslosenquote mit gegen 98% weit über dem allgemeinen Durchschnitt im Kosovo (Arbeitslosenquote von rund 41%). Zudem sind diese ethnischen Minderheiten nach wie vor mit Diskriminierungen in den Bereichen Wohnen, Schulbildung, Fürsorge, Gesundheitsvorsorge sowie bei der Registrierung konfrontiert.</w:t>
      </w:r>
    </w:p>
    <w:p>
      <w:r>
        <w:rPr>
          <w:b/>
        </w:rPr>
        <w:t>E. 4.6.1</w:t>
      </w:r>
    </w:p>
    <w:p>
      <w:r>
        <w:t>Im Zusammenhang mit dem Asylgesuch des Bruders des Beschwerdeführers hat das BFM im Mai 2005 über das Verbindungsbüro in Pristina Abklärungen vornehmen lassen. Laut dessen Ergebnis lebten zum damaligen Zeitpunkt die Eltern des Beschwerdeführers sowie ein Bruder mit seiner Ehefrau und seinem Kind (total fünf Personen) in einem aus zwei Räumen bestehenden, sehr einfachen Haus. Der Vater des Beschwerdeführers verfügte damals über eine feste Anstellung und verdiente monatlich 120 Euro. Weiter haben die Abklärungen des Verbindungsbüros in Pristina vom Juli 2007 ergeben, dass die Eltern der Beschwerdeführerin zusammen mit drei ihrer erwachsenen Kinder und deren Familien, insgesamt acht Personen, in einem einfachen einstöckigen Haus leben. Der Vater und die Brüder der Beschwerdeführerin verfügten im damaligen Zeitpunkt über keine festen Anstellungen. War ein Familienmitglied längere Zeit (sprich zwei bis drei Monate) arbeitstätig, verdiente es im Monat durchschnittlich 100 Euro. Sodann wurde im Rahmen dieser Abklärungen bestätigt, dass die Familie des Beschwerdeführers in sehr schwierigen wirtschaftlichen Verhältnissen lebe. Nachdem sich die allgemeine Lage im Kosovo in den vergangenen Jahren nicht wesentlich verändert hat, ist auch vorliegend davon auszugehen, dass sich die gesamte Situation der Familien der Beschwerdeführenden nicht wesentlich verändert hat.</w:t>
      </w:r>
    </w:p>
    <w:p>
      <w:r>
        <w:rPr>
          <w:b/>
        </w:rPr>
        <w:t>E. 4.6.2</w:t>
      </w:r>
    </w:p>
    <w:p>
      <w:r>
        <w:t>Was die persönliche Situation der Beschwerdeführenden anbelangt, so ergibt sich aus den Akten, dass der Beschwerdeführer während vier Jahren die Grundschule besuchte und über keine Berufsausbildung verfügt. Vor der Ausreise in die Schweiz arbeitete er als (...). Hier in der Schweiz hat er im Jahr 2007 in der (...) gearbeitet und dabei auch den Deutschunterricht besucht. Dem Zwischenbericht der (...) für die Zeit vom (...) bis (...) ist zu entnehmen, dass der Beschwerdeführer nicht auf handwerkliche Erfahrungen zurückgreifen kann und auf eine starke An- und Begleitung angewiesen ist. Zu den beruflichen Perspektiven wird festgehalten, der Beschwerdeführer sei in der Lage, einfache Hilfsarbeiten in allen Branchen auszuführen. Entsprechende berufliche Tätigkeiten seien möglich. Gemäss dem Schreiben vom (...) hat der Beschwerdeführer zwischenzeitlich eine Anstellung gefunden. Seit (...) verfügt er über einen Arbeitsvertrag als (...). Die Beschwerdeführerin ihrerseits hat während sechs Jahren die Grundschule besucht, verfügt über keine Berufsausbildung und ist auch nie einer Erwerbstätigkeit nachgegangen.</w:t>
      </w:r>
    </w:p>
    <w:p>
      <w:r>
        <w:rPr>
          <w:b/>
        </w:rPr>
        <w:t>E. 4.6.3</w:t>
      </w:r>
    </w:p>
    <w:p>
      <w:r>
        <w:t>Aufgrund der vorgenommenen Abklärungen ist festzuhalten, dass alle nächsten Verwandten der Beschwerdeführenden einerseits auf sehr engem Wohnraum und andererseits in sehr schwierigen wirtschaftlichen Verhältnissen leben. Vorübergehend könnten die Beschwerdeführenden wohl bei beiden Herkunftsfamilien Unterkunft finden. Indes wäre bereits eine finanzielle Unterstützung angesichts der äusserst bescheidenen Einkünfte fragwürdig. Auf längere Dauer gesehen wäre indes sowohl ein gemeinsames Wohnen als auch eine finanzielle Unterstützung durch die Verwandten als praktisch unmöglich zu beurteilen. Was sodann die beruflichen Möglichkeiten des Beschwerdeführers anbelangen, ist davon auszugehen, dass es für ihn in Anbetracht seiner mangelnden Ausbildung sowie Berufserfahrungen äusserst schwierig sein wird, eine feste Anstellung zu finden und damit für den Unterhalt der fünfköpfigen Familie aufzukommen. Ebenso erscheint es ausgeschlossen, dass die über keine Berufsausbildung und keine Berufserfahrungen verfügende Beschwerdeführerin für den Unterhalt der Familie aufkommen könnte. Vor diesem Hintergrund fragt sich ernsthaft, ob die Beschwerdeführenden bei einer Rückkehr überhaupt die Möglichkeit hätten, ein wirtschaftliches Auskommen für sich und ihre drei Kinder zu finden.</w:t>
      </w:r>
    </w:p>
    <w:p>
      <w:r>
        <w:rPr>
          <w:b/>
        </w:rPr>
        <w:t>E. 4.6.4</w:t>
      </w:r>
    </w:p>
    <w:p>
      <w:r>
        <w:t>Die Beschwerdeführenden sind im Jahre 2000, mithin vor knapp neun Jahren in die Schweiz eingereist. Zum damaligen Zeitpunkt war der Beschwerdeführer (...), die Beschwerdeführerin (...) Jahre alt. Demnach haben beide rund (...) ihres bisherigen Lebens hier in der Schweiz verbracht. Aufgrund der Akten ergibt sich weiter, dass der Beschwerdeführer seit (...) als (...) bei der (...) arbeitet. Als (...) muss er über ausreichende Deutschkenntnisse verfügen. Insoweit ist zu schliessen, dass der Beschwerdeführer sich in der Schweiz bereits sprachlich wie beruflich hinreichend integriert hat, was angesichts seiner Ausbildung einer besonderen Beachtung bedarf.</w:t>
      </w:r>
    </w:p>
    <w:p>
      <w:r>
        <w:rPr>
          <w:b/>
        </w:rPr>
        <w:t>E. 4.6.5</w:t>
      </w:r>
    </w:p>
    <w:p>
      <w:r>
        <w:t>Sind sodann von einem allfälligen Wegweisungsvollzug Kinder betroffen, so bildet im Rahmen der Zumutbarkeitsprüfung das Kindswohl einen Gesichtspunkt von gewichtiger Bedeutung. Dies ergibt sich nicht zuletzt aus einer völkerrechtskonformen Auslegung von Art. 83 Abs. 4 AuG im Lichte von Art. 3 Abs. 1 des Übereinkommens vom 20. November 1989 über die Rechte des Kindes (KRK, SR 0.107). Unter dem Aspekt des Kindswohls sind demnach sämtliche Umstände einzubeziehen und zu würdigen, die im Hinblick auf eine Wegweisung wesentlich erscheinen (vgl. die noch zu Art. 14a Abs. 4 ANAG erfolgte und weiterhin zutreffende Rechtsprechung der ARK in EMARK 2005 Nr. 6). In Bezug auf das Kindswohl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die weiterhin zutreffende Praxis der ARK in EMARK 1998 Nr. 31 S. 260 f.). Die Beschwerdeführenden sind anfangs November 2000 mit ihrer damals rund (...) Tochter C._______ in die Schweiz eingereist. Hier in der Schweiz wurden im (...) der Sohn D._______ und im (...) die Tochter E._______ geboren. Die Kinder der Beschwerdeführenden sind heute (...), (...) und (...) Jahre alt. Aufgrund der Akten ergibt sich, dass C._______ nach den Sommerferien 2009 die (...) Primarschulklasse besuchen wird. Demnach hat sie ihre gesamte bisherige schulische Ausbildung hier durchlaufen. Mit der Einschulung in der Schweiz hat C._______ Schweizer Dialekt und Hochdeutsch erlernt und sich zusehends an die schweizerische Lebensweise assimiliert beziehungsweise ist sie insbesondere durch den Besuch der Schule in erheblichem Mass durch das hiesige kulturelle und soziale Umfeld geprägt worden. Es ist auch davon auszugehen, dass sie in den letzten Jahren begonnen hat, ein eigenes persönliches Beziehungsnetz aufzubauen. Demgegenüber wird sie kaum über die - namentlich schriftlichen - Kenntnisse ihrer Muttersprache verfügen, welche für eine erfolgreiche Eingliederung ins Schulsystem in der Heimat vorauszusetzen wären. Auch wird sie aufgrund des Umstandes, dass sie stets nur in der Schweiz gelebt hat, kaum Kontakte zu anderen gleichaltrigen Menschen in ihrem Heimatland haben. Angesichts dessen sowie der kulturellen Differenzen zwischen der Schweiz und dem Kosovo wäre ihre Reintegration in der Heimat in erhöhtem Mass in Frage gestellt. Bei dieser Sachlage besteht für C._______ somit die mögliche Gefahr, dass die mit einem Vollzug der Wegweisung verbundene Entwurzelung aus dem gewachsenen sozialen Umfeld in der Schweiz einerseits und die sich gleichzeitig abzeichnende Problematik einer Reintegration in die ihr weitgehend fremde Kultur und Umgebung im Heimatland andererseits zu starken Belastungen in ihrer weiteren Entwicklung führen würden, die mit dem Schutzanliegen des Kindswohls nicht zu vereinbaren wären. Was die zwei andern Kinder der Beschwerdeführenden anbelangt, ist festzustellen, dass beide hier in der Schweiz geboren wurden, mithin keinen Bezug zum Kosovo haben. D._______ ist zwischenzeitlich (...) und wird nach den Sommerferien 2009 die (...) Primarschulklasse besuchen. Insoweit hat auch er mit dem Besuch des Kindergartens bereits den Schweizer Dialekt erlernt und sich an die schweizerische Lebensweise zu assimilieren begonnen. Sein persönliches Beziehungsnetz kann indes noch nicht mit dem seiner älteren Schwester verglichen werden. Allerdings wäre auch für D._______ ein Vollzug der Wegweisung aus der Schweiz mit einer Entwurzelung verbunden, wie gleichermassen eine Integration für ihn im Kosovo als nicht einfach zu erachten wäre. Insoweit würde ein Vollzug der Wegweisung auch bei D._______ zu einer unzumutbaren Belastung in seiner weiteren Entwicklung führen, welche letztlich mit dem Schutzanliegen des Kindswohls nicht zu vereinbaren wäre. E._______ schliesslich ist aufgrund ihres Alters wohl noch mehrheitlich von ihrem familiären Umfeld geprägt. Im Ergebnis ist demnach festzustellen, dass insbesondere für C._______, aber auch für ihren jüngeren Bruder D._______ der Vollzug der Wegweisung in den Kosovo als unzumutbar zu beurteilen ist.</w:t>
      </w:r>
    </w:p>
    <w:p>
      <w:r>
        <w:rPr>
          <w:b/>
        </w:rPr>
        <w:t>E. 4.6.6</w:t>
      </w:r>
    </w:p>
    <w:p>
      <w:r>
        <w:t>In Würdigung der besonderen Umstände des vorliegenden Falls erachtet das Bundesverwaltungsgericht den Vollzug der Wegweisung der Beschwerdeführenden und ihrer Kinder insgesamt als nicht zumutbar im Sinne von Art. 83 Abs. 4 AuG. Den Akten können auch keine Hinweise auf Ausschlussgründe im Sinne von Art. 83 Abs. 7 AuG entnommen werden.</w:t>
      </w:r>
    </w:p>
    <w:p>
      <w:r>
        <w:rPr>
          <w:b/>
        </w:rPr>
        <w:t>E. 4.7</w:t>
      </w:r>
    </w:p>
    <w:p>
      <w:r>
        <w:t>Zusammenfassend ist festzuhalten, dass das BFM zu Unrecht festgestellt hat, der Vollzug der Wegweisung sei zumutbar. Die Beschwerde ist daher gutzuheissen und die Verfügung der Vorinstanz vom 16. August 2007 aufzuheben. Die Beschwerdeführenden und ihre drei Kinder bleiben demnach weiterhin vorläufig aufgenommen.</w:t>
      </w:r>
    </w:p>
    <w:p>
      <w:r>
        <w:rPr>
          <w:b/>
        </w:rPr>
        <w:t>E. 5.1</w:t>
      </w:r>
    </w:p>
    <w:p>
      <w:r>
        <w:t>Bei diesem Ausgang des Beschwerdeverfahrens sind keine Kosten aufzuerlegen (Art. 63 Abs. 1 VwVG).</w:t>
      </w:r>
    </w:p>
    <w:p>
      <w:r>
        <w:rPr>
          <w:b/>
        </w:rPr>
        <w:t>E. 5.2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i.V.m. Art. 16 Abs. 1 Bst. a VGG). Obsiegt die Partei nur teilweise, so ist die Parteientschädigung entsprechend zu kürzen (Art. 7 Abs. 2 VGKE). Die Rechtsvertreterin der Beschwerdeführenden hat keine Kostennote eingereicht. Auf die Nachreichung einer solchen kann vorliegend verzichtet werden, da sich die Vertretungskosten aufgrund der Akten abschätzen lassen (Art. 14 Abs. 2 VGKE). Die Parteientschädigung ist von Amtes wegen auf pauschal Fr. 600.-- festzusetzen (inkl. Auslagen und MWSt). Das BFM ist anzuweisen, diesen Betrag den Beschwerdeführenden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