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E-6210/2015 vom 6. Oktober 2015</w:t>
      </w:r>
    </w:p>
    <w:p>
      <w:r>
        <w:t>Bundesverwaltungsgericht, 2015-10-06, DE</w:t>
      </w:r>
    </w:p>
    <w:p>
      <w:r>
        <w:rPr>
          <w:b/>
        </w:rPr>
        <w:t xml:space="preserve">Quelle: </w:t>
      </w:r>
      <w:r>
        <w:t>https://mcp.opencaselaw.ch/entscheid/bvger_E-6210_2015</w:t>
      </w:r>
    </w:p>
    <w:p>
      <w:r>
        <w:t>FR: TAF E-6210/2015 du 6 octobre 2015</w:t>
      </w:r>
    </w:p>
    <w:p>
      <w:r>
        <w:t>IT: TAF E-6210/2015 del 6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die italienischen Behörden hätten innerhalb der festgelegten Frist zum Übernahmeersuchen keine Stellung genommen. Gemäss dem Dublin-Assoziierungsabkommen vom 26. Oktober 2004 (DAA, SR 0.142.392.68) und Art. 22 Abs. 7 Dublin-III-VO sei somit die Zuständigkeit zur Prüfung des Asyl- und Wegweisungsverfahrens auf Italien übergegangen. Der Wunsch der Beschwerdeführerin nach einem Verbleib in der Schweiz habe keinen Einfluss auf die Zuständigkeit für das Asyl- und Wegweisungsverfahren. Sie vermöge mit ihren Ausführungen die Zuständigkeit Italiens nicht zu widerlegen. Für einen Selbsteintritt der Schweiz würden keine Gründe vorliegen. Hinweise dafür, dass Italien seinen völkerrechtlichen Verpflichtungen nicht nachkäme, lägen keine vor. Sofern notwendig werde man die italienischen Behörden vor der Überstellung über eine allenfalls notwendige medizinische Behandlung informieren. Aus den Akten gehe hingegen kein Behandlungsbedarf hervor.</w:t>
      </w:r>
    </w:p>
    <w:p>
      <w:r>
        <w:rPr>
          <w:b/>
        </w:rPr>
        <w:t>E. 4.2</w:t>
      </w:r>
    </w:p>
    <w:p>
      <w:r>
        <w:t>Die Beschwerdeführerin beruft sich auf den geplanten Verteilschlüssel innerhalb der Europäischen Union (EU), an dem sich die Schweiz beteiligen wolle, und leitet daraus eine Unterschreitung des Ermessens und eine Unverhältnismässigkeit der Wegweisung ab. Sie verkennt, dass die Behörden geltendes Recht anzuwenden haben. Aus einem politischen Vorhaben, das (noch) nicht Gesetz geworden ist, kann sie nichts zu ihren Gunsten ableiten. Entsprechend ist auf die diesbezüglichen Ausführungen in der Beschwerde nicht weiter einzugehen.</w:t>
      </w:r>
    </w:p>
    <w:p>
      <w:r>
        <w:rPr>
          <w:b/>
        </w:rPr>
        <w:t>E. 4.3</w:t>
      </w:r>
    </w:p>
    <w:p>
      <w:r>
        <w:t>Die Beschwerdeführerin führt weiter aus, sie sei in Italien nie mit den Behörden in Kontakt gekommen und habe dort kein Asylgesuch gestellt. Ihr Gesuch sei nur deswegen in Italien zu behandeln, weil Italien es versäumt habe, auf die Anfrage der Schweiz zu antworten. Aus den Akten geht hervor, dass die Beschwerdeführerin von Libyen her mit dem Boot nach Italien gelangt und dort illegal eingereist ist (SEM-Akten, A4/14 S. 7). Die Vorinstanz hat aufgrund dieser Aussagen zu Recht die Zuständigkeit Italiens erkannt und die italienischen Behörden - gestützt auf Art. 13 Abs. 1 und Art. 21 Abs. 1 Dublin-III-VO - um Übernahme ersucht. Für die Annahme der Zuständigkeit genügen Indizien (Art. 13 Abs. 1 Dublin-III-VO). Dass Italien nicht ausdrücklich Stellung genommen hat, bleibt ohne Bedeutung. Bereits mit Fristablauf wird die Zustimmung fingiert. Italien ist somit verpflichtet, die Person aufzunehmen und angemessene Vorkehrungen für die Ankunft zu treffen (Art. 22 Abs. 7 Dublin-III-VO). Anhaltspunkte dafür, dass Italien seine staatsvertraglichen Verpflichtungen missachtet und die Beschwerdeführerin unter Verletzung von Art. 3 EMRK einer menschenunwürdigen oder erniedrigenden Behandlung ausgesetzt wäre, oder dass das flüchtlingsrechtliche Non-Refoulement-Gebot verletzt würde, liegen keine vor.</w:t>
      </w:r>
    </w:p>
    <w:p>
      <w:r>
        <w:rPr>
          <w:b/>
        </w:rPr>
        <w:t>E. 4.4</w:t>
      </w:r>
    </w:p>
    <w:p>
      <w:r>
        <w:t>Die Vorinstanz ist somit zutreffend von der Zuständigkeit Italiens ausgegangen und in Anwendung Art. 31a Abs. 1 Bst. b AsylG auf das Asylgesuch der Beschwerdeführerin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5.1</w:t>
      </w:r>
    </w:p>
    <w:p>
      <w:r>
        <w:t>Aus den Erwägungen ergibt sich, dass die angefochtene Verfügung Bundesrecht nicht verletzt und auch sonst nicht zu beanstanden ist (Art. 106 AsylG). Für eine Rückweisung der Sache an die Vorinstanz besteht nach dem Gesagten kein Anlass. Die Beschwerde ist abzuweisen.</w:t>
      </w:r>
    </w:p>
    <w:p>
      <w:r>
        <w:rPr>
          <w:b/>
        </w:rPr>
        <w:t>E. 5.2</w:t>
      </w:r>
    </w:p>
    <w:p>
      <w:r>
        <w:t>Mit dem vorliegenden Urteil ist der Antrag auf Gewährung der aufschiebenden Wirkung sowie der Antrag, die Vollzugsbehörden seien anzuweisen von jeglichen Vollzugshandlungen abzusehen, gegenstandslos geworden.</w:t>
      </w:r>
    </w:p>
    <w:p>
      <w:r>
        <w:rPr>
          <w:b/>
        </w:rPr>
        <w:t>E. 6.1</w:t>
      </w:r>
    </w:p>
    <w:p>
      <w:r>
        <w:t>Die Beschwerdeführerin beantragt die Gewährung der unentgeltlichen Prozessführung. Aufgrund der vorstehenden Erwägungen ergibt sich, dass ihre Begehren als aussichtslos zu gelten hat.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der Beschwerdeführerin aufzuerlegen (Art. 63 Abs. 1 VwVG). Der Antrag auf Verzicht auf die Erhebung eines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