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E-6209/2006 vom 29. Dezember 2009</w:t>
      </w:r>
    </w:p>
    <w:p>
      <w:r>
        <w:t>Bundesverwaltungsgericht, 2009-12-29, DE</w:t>
      </w:r>
    </w:p>
    <w:p>
      <w:r>
        <w:rPr>
          <w:b/>
        </w:rPr>
        <w:t xml:space="preserve">Quelle: </w:t>
      </w:r>
      <w:r>
        <w:t>https://mcp.opencaselaw.ch/entscheid/bvger_E-6209_2006</w:t>
      </w:r>
    </w:p>
    <w:p>
      <w:r>
        <w:t>FR: TAF E-6209/2006 du 29 décembre 2009</w:t>
      </w:r>
    </w:p>
    <w:p>
      <w:r>
        <w:t>IT: TAF E-6209/2006 del 29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die Vorbringen des Beschwerdeführers würden verschiedene Widersprüche beinhalten, wirkten überzeichnet und nicht plausibel. Es sei bei der vorliegenden Sachlage anzunehmen, er habe die Türkei wegen des bevorstehenden Militärdiensts verlassen. Eine allfällige Bestrafung wegen Dienstversäumnisses sei jedoch mit militärstrafrechtlichen, nicht aber asylrechtlichen Motiven begründet und würde den Anforderungen an die Flüchtlingseigenschaft nicht genügen.</w:t>
      </w:r>
    </w:p>
    <w:p>
      <w:r>
        <w:rPr>
          <w:b/>
        </w:rPr>
        <w:t>E. 4.2</w:t>
      </w:r>
    </w:p>
    <w:p>
      <w:r>
        <w:t>In der Beschwerdeschrift wird vorweg der Sachverhalt erneut dargelegt. Die vom Beschwerdeführer geschilderten Übergriffe hätten - entgegen der Auffassung des BFM - den türkischen Sicherheitsbehörden kaum einen grossen Aufwand verursacht. Die Vorinstanz habe zudem ausser Acht gelassen, dass bereits seine Familienangehörigen massive Probleme mit den Sicherheitskräften gehabt hätten, der Vater beispielsweise zum Invaliden geprügelt worden, ein Bruder ebenfalls bedroht worden und ein weiterer ein Bruder unter mysteriösen Umständen gestorben sei. Soweit die Vorinstanz seinen Vorbringen teilweise die Glaubhaftigkeit abspreche, sei darauf hinzuweisen, dass er bei der Erstbefragung seine Fluchtgründe nur sehr summarisch geschildert habe. Die Verhaftung vom Januar 2006 und die Festnahme vom September 2005 habe er nur kurz erwähnt, zumal diese nicht in unmittelbarem Zusammenhang mit den Fluchtgründen gestanden seien. Diese hätten zudem wesentlich geringere Ängste ausgelöst als die "inoffiziellen" Entführungen durch Angehörige des Geheimdienstes. Sodann könne ihm nicht zum Vorwurf gereichen, dass er eigentlich nicht genau gewusst habe, worum es dem Geheimdienst bei den Entführungen gegangen sei. In erster Linie dürfte es sich um repressive beziehungsweise präventive Massnahmen gehandelt haben, die im Zusammenhang mit der politischen Vergangenheit der Familienangehörigen gestanden seien. Entgegen der Auffassung des Bundesamtes sei zudem durchaus plausibel, dass die Mutter des Beschwerdeführers dessen Gerichtsakten verlegt habe. Er sei weiterhin bemüht, die betreffenden Unterlagen mit Hilfe eines Anwalts in der Türkei nochmals zu beschaffen. Nicht nachvollziehbar sei, dass das BFM den Beschwerdeführer trotz entsprechender Aussagen nicht zu den politischen Aktivitäten seiner Familienangehörigen befragt und das Thema der Reflexverfolgung auch im Entscheid nicht thematisiert habe. Damit habe die Vorinstanz den Untersuchungsgrundsatz und die Pflicht zur vollständigen Abklärung des rechtserheblichen Sachverhaltes verletzt.</w:t>
      </w:r>
    </w:p>
    <w:p>
      <w:r>
        <w:rPr>
          <w:b/>
        </w:rPr>
        <w:t>E. 5.1</w:t>
      </w:r>
    </w:p>
    <w:p>
      <w:r>
        <w:t>Das Bundesverwaltungsgericht kommt in einer Würdigung der gesamten vorliegenden Akten zum Schluss, dass die Vorinstanz die Vorbringen des Beschwerdeführers zu Recht teils als unglaubhaft, teils als nicht flüchtlingsrelevant beurteilt hat:</w:t>
      </w:r>
    </w:p>
    <w:p>
      <w:r>
        <w:rPr>
          <w:b/>
        </w:rPr>
        <w:t>E. 5.2.1</w:t>
      </w:r>
    </w:p>
    <w:p>
      <w:r>
        <w:t>Der Beschwerdeführer hat angegeben, er habe zusammen mit einem Freund für die DEHAP - und dabei im Auftrag des Parteipräsidenten der DEHAP - in H._______ Kurierdienste getätigt, Flugblätter verteilt und weitere, ähnliche Aktivitäten ausgeführt. Er sei jedoch nicht besonders aktiv und auch kein fanatischer Anhänger gewesen, habe nur ab und zu an den Wochenenden das Parteilokal besucht (vgl. Anhörungsprotokoll S. 4, 5). Vor diesem Hintergrund ist nicht nachvollziehbar, dass die türkischen Sicherheitskräfte - sogar unter Einschalten des türkischen Geheimdiensts - mit Bezug auf den Beschwerdeführer einen derart unverhältnismässig hohen Aufwand betrieben und den Beschwerdeführer immer wieder massiv bedroht haben sollen. Die vor dem Hintergrund dieser Ausführungen entstehenden Zweifel werden durch verschiedene ungereimte und widersprüchliche Aussagen erhärtet:</w:t>
      </w:r>
    </w:p>
    <w:p>
      <w:r>
        <w:rPr>
          <w:b/>
        </w:rPr>
        <w:t>E. 5.2.2</w:t>
      </w:r>
    </w:p>
    <w:p>
      <w:r>
        <w:t>Der Beschwerdeführer hat in der Erstbefragung unter anderem angegeben, er sei im (...) zweimal für jeweils einen Tag festgenommen worden. Zudem sei er zwei- bis dreimal mit dem Auto verschleppt und bedroht worden, um ihn Namen verraten zu lassen. Am (...) sei sein Freund I._______ verhaftet worden. Dieser habe seinen Namen angegeben. In der Folge sei ihm ein Gerichtsschreiben nach Hause in H._______ geschickt worden, mit der Aufforderung, im (...) vor dem örtlichen Friedensstrafgericht zu erscheinen. Allenfalls könne diese Vorladung in Zusammenhang mit einer eintägigen Festnahme gestanden sein, die er mit dem genannten Freund zwischen Januar und Februar 2006 erlebt habe (vgl. Protokoll Erstbefragung S. 5). Bei der Befragung durch das Bundesamt führte der Beschwerdeführer aus, die erste Festnahme habe er am (...) in seinem Haus in H._______ erlebt, nachdem er mit seinem Freund I._______ zuvor am (...) an einer Gedenkkundgebung für Öcalan in C._______ teilgenommen habe. Er sei der Begehung verschiedener politischer Delikte beschuldigt worden, was er von sich gewiesen habe. In der Folge sei er von mehreren Polizisten geschlagen und es seien ihm Fotos von der Kundgebung gezeigt worden, auf denen er zu erkennen gewesen sei. Ohne vor einen Richter geführt worden zu sein, habe man ihn schliesslich freigelassen (vgl. Protokoll Bundesamt S. 4). Diese angebliche Teilnahme an einer Kundgebung und die anschliessende Festnahme erwähnte er bei der Erstbefragung mit keinem Wort. Zudem erklärte er bei der zweiten Anhörung, er habe danach keine Festnahmen mehr, aber noch viele Drohungen über sich ergehen lassen müssen (vgl. a.a.O. S. 7). Die zwei angeblichen Festnahmen vom (...) erwähnte er bei der zweiten Befragung nicht; darauf angesprochen erklärte er, diese Vorfälle nicht mehr genannt zu haben, weil er das "nicht so nötig empfinde" (vgl. a.a.O. S. 9).</w:t>
      </w:r>
    </w:p>
    <w:p>
      <w:r>
        <w:rPr>
          <w:b/>
        </w:rPr>
        <w:t>E. 5.2.3</w:t>
      </w:r>
    </w:p>
    <w:p>
      <w:r>
        <w:t>Dieses Aussageverhalten wirkt nicht nachvollziehbar und kann auch nicht mit dem Einwand erklärt werden, der Beschwerdeführer habe sich in der Erstbefragung nur summarisch zu einzelnen Festnahmen geäussert. Zudem fällt auf, dass er auch seine angebliche Teilnahme an der Newroz-Feier vom 21. März 2006 bei der Erstbefragung nicht erwähnt und hinsichtlich der Festnahme seines Freunds I._______ vor dem Bundesamt ein anderes Datum angegeben hat: Dieser sei am (...) verhaftet worden. Davon, dass der Freund ihn verraten habe, war nicht mehr die Rede, sondern er führte nur aus, er sei davon ausgegangen, dass dieser ihn unter Zwang verraten würde (vgl. a.a.O. S. 4). In diesem Zusammenhang erwähnte er zudem verschiedene Gerichtsdokumente; einem dieser Dokumente zufolge hätte er drei Monate lang inhaftiert werden sollen. Zudem gab er bei der zweiten Befragung neu an, dass die Militärdienstpflicht angestanden sei.</w:t>
      </w:r>
    </w:p>
    <w:p>
      <w:r>
        <w:rPr>
          <w:b/>
        </w:rPr>
        <w:t>E. 5.2.4</w:t>
      </w:r>
    </w:p>
    <w:p>
      <w:r>
        <w:t>Hinsichtlich der erwähnten Gerichtsdokumente hat sich der Beschwerdeführer im Lauf des Verfahrens ebenfalls in verschiedene Widersprüche und Ungereimtheiten verwickelt: So sagte er einerseits aus, er habe deswegen keinen Anwalt in der Türkei benötigt, weil ihn dort offiziell nichts betroffen habe, er sei nicht offiziell gesucht worden (vgl. Protokoll Bundesamt S. 3 und 8); andererseits sollen verschiedene Gerichtsdokumente und damit sehr wohl offizielle Unterlagen existiert haben, welche von der Mutter jedoch unglücklicherweise verlegt worden seien. Zu Recht hat die Vorinstanz diese Vorbringen als zweifelhaft beurteilt. Die fraglichen Gerichtsakten hat der Beschwerdeführer bezeichnenderweise bis heute nicht eingereicht, obwohl er angeblich über mehrere Anwälte diesbezüglich Anstrengungen unternommen haben will.</w:t>
      </w:r>
    </w:p>
    <w:p>
      <w:r>
        <w:rPr>
          <w:b/>
        </w:rPr>
        <w:t>E. 5.3.1</w:t>
      </w:r>
    </w:p>
    <w:p>
      <w:r>
        <w:t>Hingegen hat der Beschwerdeführer im Lauf des Beschwerdeverfahrens zwei undatierte Vorladungen eingereicht. Abgesehen vom fehlenden Formerfordernis des Datums ist den Dokumenten kein Vorladungsgrund zu entnehmen. Es ist dem zuerst eingereichten Papier auch nicht zu entnehmen, ob der Beschwerdeführer als Angeklagter, als Zeuge oder in anderer Funktion hätte vorsprechen sollen. Kurz nachdem das BFM in seiner Vernehmlassung auf diese Umstände hingewiesen hatte, reichte der Beschwerdeführer bezeichnenderweise eine neue, praktisch identische Vorladung zu den Akten, auf der beim Eintrag des Namens jedoch in Klammern handschriftlich die Bemerkung "Angeschuldigter" ("SANIK") ergänzt war. Weiter fällt auf, dass beide Dokumente zwar von derselben Person handschriftlich verfasst und unterschrieben worden sein sollen, Schriftbilder und Unterschriften jedoch deutliche Unterschiede aufweisen.</w:t>
      </w:r>
    </w:p>
    <w:p>
      <w:r>
        <w:rPr>
          <w:b/>
        </w:rPr>
        <w:t>E. 5.3.2</w:t>
      </w:r>
    </w:p>
    <w:p>
      <w:r>
        <w:t>Ungeachtet dieser auf fehlende Authentizität schliessen lassenden Hinweise können Dokumente dieser generellen Form irgendeinen Vorladungsgrund betreffen; dies manifestiert sich auch in der Bezeichnung "Cagri Pusulasi". Sollten die Dokumente im Zusammenhang mit dem anstehenden Militärdienst gestanden sein, wäre die Bezeichnung der Formulare nicht korrekt, weshalb auch vor diesem Hintergrund keine klare Zuordnung erfolgen könnte. Die beiden angeblichen Vorladungen sind in der vorliegenden Form jedenfalls nicht geeignet, eine asylrechtlich motivierte staatliche Verfolgung des Beschwerdeführers zu belegen.</w:t>
      </w:r>
    </w:p>
    <w:p>
      <w:r>
        <w:rPr>
          <w:b/>
        </w:rPr>
        <w:t>E. 5.4.1</w:t>
      </w:r>
    </w:p>
    <w:p>
      <w:r>
        <w:t>Allfällige strafrechtlichen Konsequenzen wegen Refraktion, Dienstverweigerung oder Desertion würden praxisgemäss bei einer Rückkehr in den Heimatstaat grundsätzlich keine Verfolgung im Sinn des Asylgesetzes darstellen. Es ist das legitime Recht jedes Staates, seine Bürger zum Militärdienst einzuberufen, weshalb strafrechtliche oder disziplinarische Massnahmen bei Pflichtverletzungen - vorbehältlich insbesondere diskriminierender oder malusbehafteter Handhabung des Militärstrafrechts im betreffenden Land - grundsätzlich nicht als politisch motivierte oder menschenrechtswidrige Verfolgungsmassnahmen zu betrachten sind (vgl. die nach wie vor gültige Rechtsprechung in Entscheidungen und Mitteilungen der Schweizerischen Asylrekurskommission [EMARK] 2006 Nr. 3 E. 4.2. mit weiteren Hinweisen).</w:t>
      </w:r>
    </w:p>
    <w:p>
      <w:r>
        <w:rPr>
          <w:b/>
        </w:rPr>
        <w:t>E. 5.4.2</w:t>
      </w:r>
    </w:p>
    <w:p>
      <w:r>
        <w:t>Wehrpflichtige Männer werden in der Türkei aufrund der Staatsangehörigkeit und ihres Jahrgangs für das Militär aufgeboten, ohne dass dieser Verpflichtung nach Kenntnis des Bundesverwaltungsgerichts eine asylrechtlich relevante Verfolgungsabsicht zugrunde liegen würde. Die Wahrscheinlichkeit, dass kurdische Soldaten während ihres obligatorischen Militärdienstes gegen Angehörige der eigenen Ethnie eingesetzt werden, ist dabei gering. In diesem Zusammenhang ist auch darauf hinzuweisen, dass die Zahl der bewaffneten Auseinandersetzungen zwischen der türkischen Armee und Aufständischen (insbesondere Angehörigen der Kurdischen Arbeiterpartei PKK) im Vergleich zur Situation der 1990er-Jahre sehr stark zurückgegangen und der Ausnahmezustand in den letzten türkischen Provinzen im Jahr 2002 aufgehoben worden ist. Eine allfällige Bestrafung wegen Nichtleistens des Militärdienstes, Wehrdienstverweigerung oder Desertion wäre vorliegend als legitime staatliche Massnahme zur Durchsetzung einer staatsbürgerlichen Pflicht und damit als asylrechtlich nicht relevant zu charakterisieren. Bisher wurde auch nicht bekannt, dass kurdische Refraktäre und Dienstverweigerer ihrer Ethnie oder ihres Gewissens wegen generell strengere Strafen zu gewärtigen hätten als solche türkischer Ethnie. Nachdem sich die vom Beschwerdeführer allenfalls zu erwartenden strafrechtlichen Konsequenzen als nicht relevant im Sinn des Asylgesetzes erweisen (vgl. EMARK 2004 Nr. 2 S. 12 ff.), liegt in dieser Hinsicht keine objektiv begründete Furcht vor Verfolgung vor.</w:t>
      </w:r>
    </w:p>
    <w:p>
      <w:r>
        <w:rPr>
          <w:b/>
        </w:rPr>
        <w:t>E. 5.5</w:t>
      </w:r>
    </w:p>
    <w:p>
      <w:r>
        <w:t>Soweit geltend gemacht wird, der Beschwerdeführer sei wegen der Familienangehörigen unter Druck geraten, ist das Folgende festzuhalten:</w:t>
      </w:r>
    </w:p>
    <w:p>
      <w:r>
        <w:rPr>
          <w:b/>
        </w:rPr>
        <w:t>E. 5.5.1</w:t>
      </w:r>
    </w:p>
    <w:p>
      <w:r>
        <w:t>Das Bundesverwaltungsgericht geht in Anlehnung an die Praxis der ARK (vgl. EMARK 2005 Nr. 21 mit weiteren Hinweisen) davon aus, dass es in der Türkei staatliche Repressalien gegen Familienangehörige von politischen Aktivisten gibt, die als so genannte Reflexverfolgung flüchtlingsrechtlich erheblich im Sinn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Die Verfolgungspraxis der türkischen Behörden hat sich im Zuge des Reformprozesses zur Annäherung an die Europäische Union zwar insofern geändert, als die Zahl der Fälle abgenommen hat, in denen Familienangehörige kurdischer Aktivisten gefoltert oder misshandelt worden sind.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Einzelfalles ab. Feststellen lässt sich immerhin, dass seit einiger Zeit besonders diejenigen Person von einer Reflexverfolgung bedroht sind, die sich offen für politisch aktive Verwandte einsetzen (vgl. EMARK 2005 Nr. 21 E. 10.2.3. S. 199 f.).</w:t>
      </w:r>
    </w:p>
    <w:p>
      <w:r>
        <w:rPr>
          <w:b/>
        </w:rPr>
        <w:t>E. 5.5.2</w:t>
      </w:r>
    </w:p>
    <w:p>
      <w:r>
        <w:t>Die Vorbringen des Beschwerdeführers sind teilweise unglaubhaft. Sodann hat er bei den Anhörungen zu seinen Asylgründen zwar Vorfälle betreffend seinen Vater und die Brüder erwähnt. Dass er selber wegen seiner Familienangehörigen erhebliche Probleme erhalten habe, hat er jedoch nicht als einen zentralen Grund seiner angeblichen Probleme im Heimatland dargestellt. Vielmehr führte er bei den Befragungen einerseits aus, eigentlich habe er früher nur wegen der kurdischen CDs und Kassetten, die er verkauft habe, Schwierigkeiten gehabt (vgl. Protokoll Bundesamt S. 5). Andererseits antwortete er auf die Frage, weshalb der Geheimdienst sich so für ihn interessiert habe, es sei vornehmlich um Namen gegangen, die dieser von ihm habe erfahren wollen (vgl. a.a.O. S. 8 und 10). Bezüglich der politischen Vergangenheit des Vaters äusserte er sich dahingehend, er habe nie so elend wie der Vater enden, sondern etwas aus seinem Leben machen wollen. Dass er wegen der politischen Vergangenheit des Vaters oder weiterer Familienangehöriger Probleme bekommen oder befürchtet habe, hat er demgegenüber nicht deutlich zum Ausdruck gebracht. Erst auf Beschwerdeebene wird die Existenz einer Reflexverfolgung als ein Asylgrund ins Zentrum gerückt und die Vorfälle um den Vater und die beiden Brüder des Beschwerdeführers in Zusammenhang mit politischen Aktivitäten gebracht: der Vater sei für die PKK aktiv gewesen; ein Bruder habe sich beim Jugendflügel der Halkin Demokrasi Partisi (HADEP) engagiert und sei bedroht worden; der Tod des zweiten Bruders sei ungeklärt geblieben. Die Vorinstanz hat in der Vernehmlassung vom 23. Februar 2007 zu der Frage der Reflexverfolgung Stellung bezogen und diese als nicht gegeben bezeichnet. Diese Schlussfolgerung ist nach dem oben Gesagten nicht zu beanstanden.</w:t>
      </w:r>
    </w:p>
    <w:p>
      <w:r>
        <w:rPr>
          <w:b/>
        </w:rPr>
        <w:t>E. 5.5.3</w:t>
      </w:r>
    </w:p>
    <w:p>
      <w:r>
        <w:t>Das Bundesverwaltungsgericht hat antragsgemäss die Akten des Cousins respektive Schwagers beigezogen und namentlich den erwähnten Zeitungsartikel, datierend vom Februar 1993, betreffend den Vater des Beschwerdeführers gesichtet: Gemäss diesem Artikel war der Vater seinerzeit offenbar im Zusammenhang mit verschiedenen Militäroperationen verhaftet worden. Der Beschwerdeführer war damals erst sieben Jahre alt. Die ersten Probleme mit den Behörden hat er gemäss eigenen Angaben etwa zehn Jahre später bekommen, als er zwischen 2002 und 2004 kurdischsprachige CDs und Kassetten verkauft habe. Die weiteren Probleme stellte er - wie oben dargelegt - vornehmlich in den Zusammenhang mit seinen eigenen politischen Aktivitäten ab 2004. Den beigezogenen Akten können keine Angaben zu den politischen Tätigkeiten des Vaters entnommen werden; vielmehr hat namentlich die Schwester des Beschwerdeführers damals unter anderem ausgesagt, die Eltern hätten wegen ihres politisch aktiven Ehemanns Nachteile erlebt, so sei der Vater einmal wegen eines Besuchs von ihr festgenommen, geschlagen und gefoltert worden. Die Angaben des Beschwerdeführers namentlich auf Beschwerdeebene finden in den beigezogenen Akten jedoch keine Entsprechung.</w:t>
      </w:r>
    </w:p>
    <w:p>
      <w:r>
        <w:rPr>
          <w:b/>
        </w:rPr>
        <w:t>E. 5.5.4</w:t>
      </w:r>
    </w:p>
    <w:p>
      <w:r>
        <w:t>Insgesamt ist vorliegend nicht davon auszugehen, der Beschwerdeführer sei wegen eines allfälligen, lange Jahre zurückliegenden politischen Engagements des Vaters oder allfälliger Aktivitäten des älteren Bruders, welcher nach wie vor in der Türkei lebt und dort inzwischen geheiratet hat (vgl. Protokoll Bundesamt S. 2), in den Fokus der türkischen Behörden geraten. Dass er wegen des politisch aktiven Schwagers (vgl. beigezogene Akten) Probleme erhalten hätte, hat er demgegenüber nicht geltend gemacht.</w:t>
      </w:r>
    </w:p>
    <w:p>
      <w:r>
        <w:rPr>
          <w:b/>
        </w:rPr>
        <w:t>E. 5.6</w:t>
      </w:r>
    </w:p>
    <w:p>
      <w:r>
        <w:t>In Würdigung der gesamten vorliegenden Akten kommt das Bundesverwaltungsgericht zum Schluss, dass der Beschwerdeführer keine Gründe nach Art. 3 AsylG nachweisen oder glaubhaft machen konnte. Der Sachverhalt ist rechtsgenüglich erstellt, weshalb sich eine Rückweisung erübrigt. Die Vorinstanz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 allgemeine Menschenrechtssituation im Heimatstaat lässt den Wegweisungsvollzug zum heutigen Zeitpunkt nicht als unzulässig erscheinen, woran auch das kürzlich ausgesprochene Verbot der Demokratik Toplum Partisi (DTP) nichts zu ändern vermag. Nach dem Gesagten ist der Vollzug der Wegweisung sowohl im Sinn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Eine solche Situation, welche den Beschwerdeführer als Gewalt- oder De-facto-Flüchtlinge qualifizieren würde, liegt nicht vor. Der Beschwerdeführer hat in der Rechtsmitteleingabe keine konkreten, über die allgemeine Situation hinausgehende individuelle Gründe für eine Unzumutbarkeit des Vollzugs aufgezeigt. In individueller Hinsicht ist aufgrund der Akten festzuhalten, dass der Beschwerdeführer seinen jahrelangen Wohnsitz in B._______ / C._______ gehabt und die letzten fünf Monate vor der Ausreise in E._______ gelebt hat. Er verfügt in B._______ in (...) nach wie vor über ein Beziehungsnetz; weitere (...) leben in J._______ und K._______ (vgl. Protokoll Empfangszentrum S. 2 f.). Sodann hat der Beschwerdeführer angegeben, als Verkäufer von elektronischen Geräten, CDs und Musikkassetten ein gutes Einkommen gehabt zu haben (vgl. Protokoll Bundesamt S. 3). Dem jungen und soweit aus den Akten ersichtlich gesunden Beschwerdeführer ist es daher zuzumuten - allenfalls anfänglich mit Hilfe der Familienangehörigen - im Heimatland wieder Fuss zu fassen und sich dort erneut eine Existenz aufzubauen.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bezeichnet.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dem Beschwerdeführer aufzuerlegen (Art. 63 Abs. 1 VwVG). Da sich die prozessuale Bedürftigkeit des Beschwerdeführers aus den Akten ergibt und seine Rechtsbegehren nicht als aussichtslos im Sinn von Art. 65 Abs. 1 VwVG bezeichnet werden konnten, ist in Gutheissung des Gesuchs um unentgeltliche Rechtspflege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