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E-6207/2016 vom 28. März 2017</w:t>
      </w:r>
    </w:p>
    <w:p>
      <w:r>
        <w:t>Bundesverwaltungsgericht, 2017-03-28, DE</w:t>
      </w:r>
    </w:p>
    <w:p>
      <w:r>
        <w:rPr>
          <w:b/>
        </w:rPr>
        <w:t xml:space="preserve">Quelle: </w:t>
      </w:r>
      <w:r>
        <w:t>https://mcp.opencaselaw.ch/entscheid/bvger_E-6207_2016</w:t>
      </w:r>
    </w:p>
    <w:p>
      <w:r>
        <w:t>FR: TAF E-6207/2016 du 28 mars 2017</w:t>
      </w:r>
    </w:p>
    <w:p>
      <w:r>
        <w:t>IT: TAF E-6207/2016 del 28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vorliegend auf die Durchführung eines Schriftenwechsels verzichtet.</w:t>
      </w:r>
    </w:p>
    <w:p>
      <w:r>
        <w:rPr>
          <w:b/>
        </w:rPr>
        <w:t>E. 4.1</w:t>
      </w:r>
    </w:p>
    <w:p>
      <w:r>
        <w:t>Gegenstand des vorliegenden Beschwerdeverfahrens bilden die Flüchtlingseigenschaft des Beschwerdeführers, die Gewährung von Asyl sowie die Wegweisung. Der Wegweisungsvollzug ist nicht zu prüfen, nachdem die Vorinstanz zufolge Unzumutbarkeit des Wegweisungsvollzugs die vorläufige Aufnahme des Beschwerdeführers angeordnet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5.1</w:t>
      </w:r>
    </w:p>
    <w:p>
      <w:r>
        <w:t>Zur Begründung des ablehnenden Asylentscheids qualifizierte die Vor-instanz die Verfolgungsvorbringen des Beschwerdeführers als den Anforderungen von Art. 7 AsylG an die Glaubhaftmachung eines Asyl begründenden Sachverhalts nicht genügend. Seine geltend gemachte illegale Ausreise sei asylrechtlich nicht relevant, weshalb er die Flüchtlingseigenschaft nicht erfülle. Die Ausführungen zu seiner angeblichen Festnahme seien einsilbig, vage, oberflächlich und stereotyp ausgefallen. Ebenso verhalte es sich mit den Angaben zur geltend gemachten Inhaftierung in einer "Dunkelheitshaftzelle". Die Aussagen hinsichtlich des Ablaufs der Festnahme und der Inhaftierung würden sodann wenig plausibel erscheinen. Es leuchte nicht ein, weshalb er in der Nacht der Festnahme keinen Ausweis habe vorlegen können, bereits am nächsten Morgen seine Familie jedoch über eine entsprechende Taufurkunde verfügt habe und er deshalb aus der Haft entlassen worden sei. Sodann würden für Personen, welche freiwillig nach Eritrea zurückkehrten, die Straftatbestände bezüglich die illegale Ausreise nicht zur Anwendung gelangen. Illegal Ausgereiste könnten straffrei zurückkehren, sofern sie bei Nichterfüllung ihrer nationalen Dienstpflicht die sogenannte Disporasteuer bezahlen und ein Reueformular unterzeichnen würden. Bei zwangsweisen Rückführungen müsse davon ausgegangen werden, dass der Nationaldienst-Status das wichtigste Kriterium für den Umgang der eritreischen Behörden mit Rückkehrern darstelle. Die illegale Ausreise als solche spiele eine untergeordnete Rolle. Der Beschwerdeführer habe Eritrea als minderjährige und somit noch nicht dienstpflichtige Person verlassen, weshalb er nicht gegen die Proclamation on National Service von 1995 verstossen habe. Den Akten seien keine Hinweise zu entnehmen, dass er bei einer Rückkehr ernsthafte Nachteile zu gewärtigen hätte.</w:t>
      </w:r>
    </w:p>
    <w:p>
      <w:r>
        <w:rPr>
          <w:b/>
        </w:rPr>
        <w:t>E. 5.2</w:t>
      </w:r>
    </w:p>
    <w:p>
      <w:r>
        <w:t>In seiner Rechtsmitteleingabe bekräftigt der Beschwerdeführer den geltend gemachten Sachverhalt. Er habe sich anlässlich der Interviews nicht konzentrieren können und sei sehr nervös gewesen, weshalb er nicht viel erzählt habe. Seine Vorbringen seien glaubhaft und er sei im März 2014 illegal von Eritrea nach Äthiopien ausgereist, weshalb ihm Asyl zu gewähren sei. Da er aus einem Militärcamp "abgehauen" und Eritrea illegal verlassen habe, gelte er als Staatsfeind und würde bei einer Rückkehr hart bestraft.</w:t>
      </w:r>
    </w:p>
    <w:p>
      <w:r>
        <w:rPr>
          <w:b/>
        </w:rPr>
        <w:t>E. 6</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(als Referenzurteil publiziert) nach einer eingehenden Lageanalyse (vgl. E. 4.6-4.11) zum Schluss, die bisherige Praxis, wonach eine illegale Ausreise alleine zur Flüchtlingseigenschaft führe, könne nicht mehr aufrechterhalten werden.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w:t>
      </w:r>
    </w:p>
    <w:p>
      <w:r>
        <w:t>Die Vorinstanz ist in ihren Erwägungen zur zutreffenden Erkenntnis gelangt, die geltend gemachten Asylvorbringen würden den Anforderungen von Art. 7 AsylG an die Glaubhaftmachung nicht genügen und seine geltend gemachte illegale Ausreise sei asylrechtlich unbeachtlich, weshalb er die Flüchtlingseigenschaft nicht erfülle und keinen Anspruch auf Asyl habe. Auf die betreffenden Erwägungen der Vorinstanz gemäss angefochtener Verfügung und Zusammenfassung in E. 5.1 kann zur Vermeidung von Wiederholungen verwiesen werden. Der Inhalt der Beschwerde führt zu keiner anderen Betrachtungsweise. Der Beschwerdeführer wiederholt darin lediglich seine geltend gemachten Vorbringen, ohne dass sich daraus neue Erkenntnisse ergeben. Widersprüchlich zu seiner Stellungnahme vom 29. August 2016 (vgl. SEM-Akten A 30) führt er nun aus, im März 2014 und nicht im April 2012 ausgereist zu sein. In einer Gesamtwürdigung gelingt es ihm nicht, seine Vorbringen glaubhaft darzulegen. Angesichts der oben erwähnten Rechtsprechung des Bundesverwaltungsgerichts kann sodann auf eine eingehende Glaubhaftigkeitsbeurteilung der illegalen Ausreise des Beschwerdeführers verzichtet werden. Zusätzliche Anknüpfungspunkte, welche zu einer Schärfung des Profils des Beschwerdeführers führen würden, liegen nicht vor. Als Minderjähriger war er noch nicht militärdienstpflichtig, weshalb er nicht als Deserteur oder Refraktär geltend kann. Es ergeben sich aus den Akten keine Hinweise, welche ihn in den Augen des eritreischen Regimes als missliebige Person erscheinen lassen könnten. Eine asylrechtlich beachtliche Verfolgung lässt sich nicht annehmen.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unberührt und tritt formell in Rechtskraft.</w:t>
      </w:r>
    </w:p>
    <w:p>
      <w:r>
        <w:rPr>
          <w:b/>
        </w:rPr>
        <w:t>E. 10</w:t>
      </w:r>
    </w:p>
    <w:p>
      <w:r>
        <w:t>Bei diesem Ausgang des Verfahrens wären die Kosten dem Beschwer-deführer aufzuerlegen (Art. 63 Abs. 1 VwVG). Auf deren Erhebung ist indes angesichts des mit Zwischenverfügung vom 27. Oktober 2016 gutgeheissenen Gesuchs um Gewährung der unentgeltlichen Rechtspflege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