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E-6207/2015 vom 26. Juli 2017</w:t>
      </w:r>
    </w:p>
    <w:p>
      <w:r>
        <w:t>Bundesverwaltungsgericht, 2017-07-26, DE</w:t>
      </w:r>
    </w:p>
    <w:p>
      <w:r>
        <w:rPr>
          <w:b/>
        </w:rPr>
        <w:t xml:space="preserve">Quelle: </w:t>
      </w:r>
      <w:r>
        <w:t>https://mcp.opencaselaw.ch/entscheid/bvger_E-6207_2015</w:t>
      </w:r>
    </w:p>
    <w:p>
      <w:r>
        <w:t>FR: TAF E-6207/2015 du 26 juillet 2017</w:t>
      </w:r>
    </w:p>
    <w:p>
      <w:r>
        <w:t>IT: TAF E-6207/2015 del 26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4.1</w:t>
      </w:r>
    </w:p>
    <w:p>
      <w:r>
        <w:t>Ein Abgleich der Fingerabdrücke des Beschwerdeführers mit der Eurodac-Datenbank ergab, dass dieser am 14. Juli 2015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w:t>
      </w:r>
    </w:p>
    <w:p>
      <w:r>
        <w:rPr>
          <w:b/>
        </w:rPr>
        <w:t>E. 4.2</w:t>
      </w:r>
    </w:p>
    <w:p>
      <w:r>
        <w:t>Der Beschwerdeführer bringt hiergegen im Wesentlichen vor, es sei das nationale Asylverfahren durchzuführen, weil es sich bei ihm um einen unbegleiteten minderjährigen Asylsuchenden handle und die ungarischen Behörden offensichtlich mit der Flut an Asylsuchenden überlastet seien.</w:t>
      </w:r>
    </w:p>
    <w:p>
      <w:r>
        <w:rPr>
          <w:b/>
        </w:rPr>
        <w:t>E. 4.3</w:t>
      </w:r>
    </w:p>
    <w:p>
      <w:r>
        <w:t>Im Lichte von Art. 3 Abs. 2 Dublin-III-VO ist zunächst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4.4</w:t>
      </w:r>
    </w:p>
    <w:p>
      <w:r>
        <w:t>Das Bundesverwaltungsgericht hat im Urteil D-7853/2015 vom 31. Mai 2017 (vorgesehen zur Publikation als Referenzurteil) eingehend die Entwicklung der Situation für Asylsuchende in Ungarn - insbesondere für jene, die in Anwendung der Dublin-III-VO nach Ungarn überstellt werden - unter Berücksichtigung des bedeutenden Migrationsstroms analysiert,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aufgrund des derzeitigen Stands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Gestützt auf diese Erwägungen hat das Bundesverwaltungsgericht im erwähnten Urteil die angefochtene Verfügung aufgehoben und die Sache zur neuen Entscheidung an das Staatssekretariat für Migration zurückgewiesen und führte aus, es obliege der erstinstanzlichen Behörde, sämtliche Sachverhaltselemente zusammenzutragen, die zur Beurteilung dieser wesentlichen Fragen zu Ungarn erforderlich seien, und es sei nicht die Aufgabe der Beschwerdeinstanz, komplexe ergänzende Abklärungen vorzunehmen. Das Bundesverwaltungsgericht würde sonst mit einem Sachentscheid seine Zuständigkeit überschreiten und die betroffene Partei werde um den gesetzlich vorgesehenen Instanzenzug gebracht (vgl. insb. E. 13).</w:t>
      </w:r>
    </w:p>
    <w:p>
      <w:r>
        <w:rPr>
          <w:b/>
        </w:rPr>
        <w:t>E. 5</w:t>
      </w:r>
    </w:p>
    <w:p>
      <w:r>
        <w:t>Nach dem Gesagten ist es dem Gericht vorliegend nicht möglich, die Beschwerdevorbringen zu beurteilen. Die angefochtene Verfügung ist aufzuheben und die Sache zur vollständigen Sachverhaltsfeststellung sowie zu neuer Entscheidung an die Vorinstanz zurückzuweisen. Die Beschwerde ist mithin gutzuheissen, ohne dass auf die weiteren Beschwerdevorbringen - auch nicht auf die behauptete Minderjährigkeit - einzugehen ist. Sollte sich die behauptete Minderjährigkeit des Beschwerdeführers im Rahmen der Neubeurteilung als nachgewiesen erweisen, hat die Vorinstanz das vorliegende Verfahren mit demjenigen seines Bruders B._______ zu koordinieren.</w:t>
      </w:r>
    </w:p>
    <w:p>
      <w:r>
        <w:rPr>
          <w:b/>
        </w:rPr>
        <w:t>E. 6.1</w:t>
      </w:r>
    </w:p>
    <w:p>
      <w:r>
        <w:t>Bei diesem Ausgang des Verfahrens sind keine Kosten zu erheben (Art. 63 Abs. 1 und 2 VwVG). Die Gesuche um unentgeltliche Rechtspflege und um Verzicht der Erhebung eines Kostenvorschusses wurden bereits mit Zwischenverfügung vom 27. Oktober 2015 gutgeheissen. Gleichzeitig wies der zuständige Instruktionsrichter das Gesuch um Beigabe einer Anwältin ab.</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Es wurde keine Kostennote eingereicht. Auf entsprechende Nachforderung kann verzichtet werden, da sich die Vertretungskosten aufgrund der Akten abschätzen lassen und auf Fr. 1'500.- zu beziffern sind (Art. 14 Abs. 2 des Reglements vom 21. Februar 2008 über die Kosten und Entschädigungen vor dem Bundesverwaltungsgericht [VGKE, SR 173.320.2]). Dieser Betrag ist dem Beschwerdeführer als Parteientschädigung zuzusprechen und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