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E-619/2014 vom 2. Juli 2014</w:t>
      </w:r>
    </w:p>
    <w:p>
      <w:r>
        <w:t>Bundesverwaltungsgericht, 2014-07-02, DE</w:t>
      </w:r>
    </w:p>
    <w:p>
      <w:r>
        <w:rPr>
          <w:b/>
        </w:rPr>
        <w:t xml:space="preserve">Quelle: </w:t>
      </w:r>
      <w:r>
        <w:t>https://mcp.opencaselaw.ch/entscheid/bvger_E-619_2014</w:t>
      </w:r>
    </w:p>
    <w:p>
      <w:r>
        <w:t>FR: TAF E-619/2014 du 2 juillet 2014</w:t>
      </w:r>
    </w:p>
    <w:p>
      <w:r>
        <w:t>IT: TAF E-619/2014 del 2 luglio 2014</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w:t>
      </w:r>
    </w:p>
    <w:p>
      <w:r>
        <w:t>Die Kognition des Bundesverwaltungsgerichts im Asylbereich und die zulässigen Rügen richten sich nach Art. 106 Abs. 1 AsylG und Art. 49 VwVG (insbesondere das Bundesgesetz vom 16. Dezember 2005 über die Ausländerinnen und Ausländer [AuG, SR 142.20] betreffend).</w:t>
      </w:r>
    </w:p>
    <w:p>
      <w:r>
        <w:rPr>
          <w:b/>
        </w:rPr>
        <w:t>E. 3.1</w:t>
      </w:r>
    </w:p>
    <w:p>
      <w:r>
        <w:t>Die Bestimmung von aArt. 32 Abs. 2 Bst. e AsylG, auf welche sich der vorliegend angefochtene Nichteintretensentscheid abstützt, ist per 1. Februar 2014 aufgehoben worden. Abs. 2 der Übergangsbestimmungen zur Änderung des Asylgesetzes vom 14. Dezember 2012 sieht indes vor, dass bei Mehrfachgesuchen für die im Zeitpunkt des Inkrafttretens der Änderung hängigen Verfahren bisheriges Recht in der Fassung vom 1. Januar 2008 anzuwenden ist.</w:t>
      </w:r>
    </w:p>
    <w:p>
      <w:r>
        <w:rPr>
          <w:b/>
        </w:rPr>
        <w:t>E. 3.2</w:t>
      </w:r>
    </w:p>
    <w:p>
      <w:r>
        <w:t>Bei Beschwerden gegen Nichteintretensentscheide (aArt. 32-35 AsylG, bzw. Art. 31a AsylG) ist die Beurteilungskompetenz der Beschwerdeinstanz nach Lehre und Praxis im Hauptpunkt grundsätzlich auf die Frage beschränkt, ob die Vorinstanz zu Recht auf das Asylgesuch nicht eingetreten ist. Hinsichtlich der Frage der Wegweisung und des Vollzugs, bei der das BFM eine materielle Prüfung und Entscheidung vorzunehmen hat, besteht demgegenüber keine vergleichbare Einschränkung der Beurteilungszuständigkeit des Bundesverwaltungsgerichts (vgl. Art. 44 AsylG i.V.m. Art. 83 Abs. 1-4 AuG).</w:t>
      </w:r>
    </w:p>
    <w:p>
      <w:r>
        <w:rPr>
          <w:b/>
        </w:rPr>
        <w:t>E. 3.3</w:t>
      </w:r>
    </w:p>
    <w:p>
      <w:r>
        <w:t>Gegenstand des vorliegenden Beschwerdeverfahrens bildet lediglich die Frage, ob die verfügte Wegweisung zu vollziehen ist oder ob anstelle des Vollzugs eine vorläufige Aufnahme anzuordnen ist. Damit sind die Ziffern 1 und 2 der angefochtenen Verfügung in Rechtskraft erwachsen.</w:t>
      </w:r>
    </w:p>
    <w:p>
      <w:r>
        <w:rPr>
          <w:b/>
        </w:rPr>
        <w:t>E. 3.4</w:t>
      </w:r>
    </w:p>
    <w:p>
      <w:r>
        <w:t>Der Beschwerdeführer verfügt weder über eine ausländerrechtliche Aufenthaltsbewilligung noch über einen Anspruch auf Erteilung einer solchen. Die Wegweisung wurde demnach zu Recht angeordnet (Art. 44 AsylG; vgl. BVGE 2013/37 E 4.4 m.w.H.; 2009/50 E. 9 m.w.H.).</w:t>
      </w:r>
    </w:p>
    <w:p>
      <w:r>
        <w:rPr>
          <w:b/>
        </w:rPr>
        <w:t>E. 4.1</w:t>
      </w:r>
    </w:p>
    <w:p>
      <w:r>
        <w:t>Ist der Vollzug der Wegweisung nicht zulässig, nicht zumutbar oder nicht möglich, so regelt das Bundesamt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Der Vollzug ist nicht zulässig, wenn völkerrechtliche Verpflichtungen der Schweiz einer Weiterreise der Ausländerin oder des Ausländers in den Heimat-, Herkunfts- oder einen Drittstaat entgegenstehen (Art. 83 Abs. 3 AuG).</w:t>
      </w:r>
    </w:p>
    <w:p>
      <w:r>
        <w:rPr>
          <w:b/>
        </w:rPr>
        <w:t>E. 4.2.1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4.2.2</w:t>
      </w:r>
    </w:p>
    <w:p>
      <w:r>
        <w:t>Die Vorinstanz wies in ihrer angefochtenen Verfügung zutreffend darauf hin, dass das Prinzip des flüchtlingsrechtlichen Non-Refoulement nur Personen schützt, die die Flüchtlingseigenschaft erfüllen. Nachdem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4.3.1</w:t>
      </w:r>
    </w:p>
    <w:p>
      <w:r>
        <w:t>Gemäss der aktuellen und nach wie vor zutreffenden Rechtsprechung des Bundesverwaltungsgerichts ergibt eine Analyse der Lage in Afghanistan ein äusserst düsteres Bild. Experten sind sich einig, dass in diesem Land nach wie vor kriegerische Zustände herrschen (vgl. BVGE 2011/7 E. 9.7.4). Aber auch hinsichtlich der humanitären Situation muss von einem der ärmsten Länder ausgegangen werden, wobei erhebliche Unterschiede zwischen ländlichen und städtischen Gebieten ausgemacht wurden (vgl. BVGE 2011/7 E. 9.8). Auf diese an und für sich gefährliche Situation weisen auch neueste Berichte hin, welche zusammenfassen, dass die afghanische Regierung ihren Bürgern weder Sicherheit noch effiziente Regierungsinstitutionen, Rechtsstaatlichkeit, soziale Basisdienstleistungen und Schutz vor Menschenrechtsverletzungen bieten könne (vgl. Corinne Troxler Gulzar, Afghnistan Update, Die aktuelle Sicherheitslage, Hrsg. SFH [Schweizerische Flüchtlingshilfe], Bern 2013, S. 1). Angesichts des Umstandes, dass sich in Kabul die Sicherheitslage nicht dermassen verschlechtert hat, wie in anderen Gebieten, und die humanitäre Situation im Vergleich weniger dramatisch ist, ist der Vollzug der Wegweisung nach Kabul grundsätzlich als zumutbar zu erachten. Es gilt indes zu beachten, dass bezogen auf den Einzelfall begünstigende Umstände vorzuliegen haben. So muss für die Rückkehr eines jungen und gesunden Mannes ein tragfähiges soziales Netz vorhanden sein, das ihn bei der Heimkehr unterstützen könnte (vgl. BVGE 2011/7 E. 9.9.2).</w:t>
      </w:r>
    </w:p>
    <w:p>
      <w:r>
        <w:rPr>
          <w:b/>
        </w:rPr>
        <w:t>E. 4.3.2</w:t>
      </w:r>
    </w:p>
    <w:p>
      <w:r>
        <w:t>Der heute (...)-jährige Beschwerdeführer ist in Kabul geboren und aufgewachsen und hat dort das Gymnasium B._______ im Jahr (...) abgeschlossen (A1 S. 2 ff., A9 S. 2). Danach hat er fünf Jahre an einer Universität persische Literatur studiert, wobei er nur zwei Semester abschloss (B7 S. 4). Daneben übte er sich schon als kleiner Junge in verschiedenen (...) und war Mitglied des Klubs "C._______" (A1 S. 7, B7 S. 4). Seine Eltern und ein Bruder sind im Jahr (...) verstorben, seit diesem Zeitpunkt lebte er mit seiner Schwester D._______ und deren Ehemann in seinem Elternhaus im E._______([...]) in Kabul zusammen, welche die Obhut über ihn übernahmen. Den von seinem Vater geerbten Textilhandel führte er nach dessen Tod zusammen mit seinem Schwager bis zu seiner Ausreise im Jahr 2009 weiter (A1 S. 2 ff., A9 S. 2, B7 S. 5). Nach dem Trainingsunfall im (...) 2009 habe er sich aus Angst vor einer Rache der Brüder des Opfers bei einem Schulkollegen F._______ versteckt, welcher auch der Kontaktmann - zumindest in dieser Zeit - zu seiner Schwester und ihrem Ehemann gewesen sei (A1 S. 7, A9 S. 6 f., 10 und 13). Nach seiner Ausreise habe der Beschwerdeführer mit seinem Schwager und seiner Schwester jeweils telefonisch Kontakt gehabt (A9 S. 2 f. und 14, B7 S. 9); in der Regel tagsüber mit seinem Schwager, abends mit seiner Schwester (B10 S. 2).</w:t>
      </w:r>
    </w:p>
    <w:p>
      <w:r>
        <w:rPr>
          <w:b/>
        </w:rPr>
        <w:t>E. 4.3.3</w:t>
      </w:r>
    </w:p>
    <w:p>
      <w:r>
        <w:t>Das Bundesverwaltungsgericht schliesst sich nach Prüfung des Sachverhalts den Erwägungen des BFM an, dass die Behauptung, der Beschwerdeführer habe keinen Kontakt mehr zu seiner Schwester und ihrem Ehemann, nicht glaubhaft ist, und verweist auf die Ausführungen der Vorinstanz. Nicht nur verfügen die in Kabul wohnhaften Verwandten, welche zwei Kinder haben, über einen Textilhandel und somit - mutmasslich - über ein wirtschaftliches Existenzminimum und über Kontakte, auch sind sie Besitzer des Elternhauses (B7 S. 5). Folglich ist es in der Tat unplausibel, weshalb sie ein solches Netz in ihrem Quartier ([...], bzw. [...], [...]) aufgeben sollten, um sich in der ungewissen Ferne ein neues Leben aufzubauen. Dass weder die Schwester noch ihr Ehemann während des angeblich letzten telefonischen Kontaktes am 4. bzw. 5. Dezember 2011 (B10 S. 2) den Beschwerdeführer über einen möglichen Wegzug nicht informiert hätten, erscheint angesichts der engen Beziehung - schliesslich wohnte der Beschwerdeführer als einziger naher Verwandter seit dem Tod seiner Eltern im Jahr (...) bei ihnen - unrealistisch; zumal der Kontakt schon ein mal unterbrochen war, dann aber über eine Drittperson wieder hergestellt werden konnte (B7 S. 9). Das Bundesverwaltungsgericht geht nicht nur davon aus, dass der Beschwerdeführer über nahe Verwandte in Kabul verfügt, auch ist anzunehmen, dass er aufgrund seiner Verbundenheit zu dieser Stadt und aufgrund seiner persönlichen Kontakte sich wieder integrieren können wird - auch wenn er sich schon vier Jahre ausserhalb von Afghanistan aufhält, was im Übrigen keine aussergewöhnlich lange Abwesenheit darstellt (vgl. Urteil des Bundesverwaltungsgerichts vom 28. Januar 2014 D-6284/2012 E. 4.4.1). Schliesslich hat er sein ganzes Leben bis zu seiner Ausreise in Kabul verbracht, durchlief dort die allgemeine Schulzeit (von zwölf Jahren) und nahm am sozialen Leben - durch seine Jahre an der Universität und seine Aktivitäten im (...) - teil. Neben der Existenz eines tragfähigen sozialen Netzes ist auch auf seine wirtschaftlichen Ressourcen hinzuweisen, mit welchen er erneut eine Lebensgrundlage aufbauen kann: eine überdurchschnittliche Bildung - u.a. spricht er verschiedene Sprachen (B7 S. 4) - sowie Arbeitserfahrung aus dem afghanischen Textilhandel und aus der schweizerischen Gastronomie (B7 S. 5). Der Inhalt der Akten lässt zudem nicht darauf schliessen, dass der Beschwerdeführer medizinische Probleme hätte, weshalb er als gesund gelten kann.</w:t>
      </w:r>
    </w:p>
    <w:p>
      <w:r>
        <w:rPr>
          <w:b/>
        </w:rPr>
        <w:t>E. 4.3.4</w:t>
      </w:r>
    </w:p>
    <w:p>
      <w:r>
        <w:t>Zusammengefasst sind den Akten keine spezifischen individuellen Unzumutbarkeitskriterien zu entnehmen. Unter diesen Umständen ist nicht davon auszugehen, dass der Beschwerdeführer bei einer Rückkehr nach Kabul in eine existenzbedrohende Situation geraten würde. Der Vollzug der Wegweisung erweist sich damit als zumutbar.</w:t>
      </w:r>
    </w:p>
    <w:p>
      <w:r>
        <w:rPr>
          <w:b/>
        </w:rPr>
        <w:t>E. 4.4</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4.5</w:t>
      </w:r>
    </w:p>
    <w:p>
      <w:r>
        <w:t>Zusammenfassend hat die Vorinstanz den Wegweisungsvollzug zu Recht als zulässig, zumutbar und möglich bezeichnet. Eine Anordnung der vorläufigen Aufnahme fällt somit ausser Betracht (Art. 83 Abs. 1-4 AuG).</w:t>
      </w:r>
    </w:p>
    <w:p>
      <w:r>
        <w:rPr>
          <w:b/>
        </w:rPr>
        <w:t>E. 5</w:t>
      </w:r>
    </w:p>
    <w:p>
      <w:r>
        <w:t>Aus diesen Erwägungen ergibt sich, dass die angefochtene Verfügung Bundesrecht nicht verletzt und den rechtserheblichen Sachverhalt richtig sowie vollständig feststellt (Art. 106 Abs. 1 AsylG). Die Beschwerde ist abzuweisen.</w:t>
      </w:r>
    </w:p>
    <w:p>
      <w:r>
        <w:rPr>
          <w:b/>
        </w:rPr>
        <w:t>E. 6</w:t>
      </w:r>
    </w:p>
    <w:p>
      <w:r>
        <w:t>Bei diesem Ausgang des Beschwerdeverfahrens sind die Verfahrenskosten dem Beschwerdeführer aufzuerlegen (Art. 63 Abs. 1 VwVG) und auf insgesamt Fr. 600.- festzusetzen (Art. 1-3 des Reglements vom 21. Februar 2008 über die Kosten und Entschädigungen vor dem Bundesverwaltungsgericht [VGKE, SR 173.320.2]). Da der Beschwerdeführer am 6. März 2014 den in gleicher Höhe liegenden Kostenvorschuss geleistet hat, ist dieser mit den Verfahrenskosten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