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E-6192/2023 vom 17. November 2023</w:t>
      </w:r>
    </w:p>
    <w:p>
      <w:r>
        <w:t>Bundesverwaltungsgericht, 2023-11-17, DE</w:t>
      </w:r>
    </w:p>
    <w:p>
      <w:r>
        <w:rPr>
          <w:b/>
        </w:rPr>
        <w:t xml:space="preserve">Quelle: </w:t>
      </w:r>
      <w:r>
        <w:t>https://mcp.opencaselaw.ch/entscheid/bvger_E-6192_2023</w:t>
      </w:r>
    </w:p>
    <w:p>
      <w:r>
        <w:t>FR: TAF E-6192/2023 du 17 novembre 2023</w:t>
      </w:r>
    </w:p>
    <w:p>
      <w:r>
        <w:t>IT: TAF E-6192/2023 del 17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w:t>
      </w:r>
    </w:p>
    <w:p>
      <w:r>
        <w:rPr>
          <w:b/>
        </w:rPr>
        <w:t>E. 1.4</w:t>
      </w:r>
    </w:p>
    <w:p>
      <w:r>
        <w:t>Auf die Beschwerde ist einzutreten.</w:t>
      </w:r>
    </w:p>
    <w:p>
      <w:r>
        <w:rPr>
          <w:b/>
        </w:rPr>
        <w:t>E. 2</w:t>
      </w:r>
    </w:p>
    <w:p>
      <w:r>
        <w:t>Die Schwester der Beschwerdeführerin hat die sie betreffende SEM-Ver-fügung mit einer separaten Beschwerde beim Bundesverwaltungsgericht angefochten. Ihr Beschwerdeverfahren wird antragsgemäss koordiniert und gleichzeitig mit dem vorliegenden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Im Rahmen eines Wiederaufnahmeverfahrens (engl.: take back) findet demgegenüber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5.6.1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5.6.2</w:t>
      </w:r>
    </w:p>
    <w:p>
      <w:r>
        <w:t>Gemäss Art. 29a Abs. 3 der Asylverordnung 1 vom 11. August 1999 (AsylV 1, SR 142.311) kann das SEM das Asylgesuch "aus humanitären Gründen" auch dann behandeln, wenn dafür gemäss Dublin-III-VO ein anderer Staat zuständig wäre. Bei jener Entscheidung kommt dem SEM Ermessen zu; das Bundesverwaltungsgericht darf sein eigenes Ermessen nicht an dessen Stelle setzen (vgl. BVGE 2015/9 E. 7.6 und E. 8.1).</w:t>
      </w:r>
    </w:p>
    <w:p>
      <w:r>
        <w:rPr>
          <w:b/>
        </w:rPr>
        <w:t>E. 6.1</w:t>
      </w:r>
    </w:p>
    <w:p>
      <w:r>
        <w:t>Ein Abgleich der Fingerabdrücke der Beschwerdeführerin mit der "Eurodac"-Datenbank ergab, dass diese am 13. September 2023 in Kro-atien ein Asylgesuch eingereicht hatte. Das SEM ersuchte deshalb die kroatischen Behörden am 4. Oktober 2023 um Wiederaufnahme der Beschwerdeführerin gestützt auf die Dublin-III-VO. Die kroatischen Behörden stimmten dem Gesuch um Übernahme am 18. Oktober 2023 zu.</w:t>
      </w:r>
    </w:p>
    <w:p>
      <w:r>
        <w:rPr>
          <w:b/>
        </w:rPr>
        <w:t>E. 6.2</w:t>
      </w:r>
    </w:p>
    <w:p>
      <w:r>
        <w:t>Die Beschwerdeführerin bestreit in ihrem Rechtsmittel nicht explizit, in Kroatien ein Asylgesuch eingereicht zu haben (was sich aus den Einträgen in der "Eurodac"-Datenbank und aus der Wiederaufnahmebestätigung der kroatischen Behörden ergibt).</w:t>
      </w:r>
    </w:p>
    <w:p>
      <w:r>
        <w:rPr>
          <w:b/>
        </w:rPr>
        <w:t>E. 6.3</w:t>
      </w:r>
    </w:p>
    <w:p>
      <w:r>
        <w:t>Die grundsätzliche Zuständigkeit Kroatiens ist somit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7.1.3</w:t>
      </w:r>
    </w:p>
    <w:p>
      <w:r>
        <w:t>Auch unter Berücksichtigung der von der Beschwerdeführerin geschilderten Erlebnisse ist nicht davon auszugehen, Kroatien verstosse systematisch gegen seine völkerrechtlichen Verpflichtungen. Die von ihr geltend gemachte schlechte Behandlung rechtfertigt es nicht, davon auszugehen, dass sie bei einer Rückkehr mit hoher Wahrscheinlichkeit Opfer einer unmenschlichen oder erniedrigenden Behandlung im Sinn von Art. 4 EU-Grundrechte-Charta würde. Sie vermochte keine individuellen Umstände geltend zu machen, gestützt auf welche sich die Annahme rechtfertigen würde, Kroatien würde ihr dauerhaft die ihr gemäss Aufnahmerichtlinie zustehenden minimalen Lebensbedingungen - insbesondere auch hinsichtlich der medizinischen Versorgung oder der Unterbringung - vorenthalten. Bei einer allfälligen vorübergehenden Einschränkung könnte sie sich nötigenfalls an die dortigen Behörden wenden und die ihr zustehenden Aufnahmebedingungen auf dem Rechtsweg einfordern (vgl. Art. 26 Aufnahmerichtlinie).</w:t>
      </w:r>
    </w:p>
    <w:p>
      <w:r>
        <w:rPr>
          <w:b/>
        </w:rPr>
        <w:t>E. 7.1.4</w:t>
      </w:r>
    </w:p>
    <w:p>
      <w:r>
        <w:t>Unter diesen Umständen ist die Anwendung von Art. 3 Abs. 2 Dublin-III-VO nicht gerechtfertigt.</w:t>
      </w:r>
    </w:p>
    <w:p>
      <w:r>
        <w:rPr>
          <w:b/>
        </w:rPr>
        <w:t>E. 7.2</w:t>
      </w:r>
    </w:p>
    <w:p>
      <w:r>
        <w:t>Sodann sind den Akten auch keine Anhaltspunkte zu entnehmen, die eine Ausübung des Selbsteintrittsrechts der Schweiz nach Art. 17 Abs. 1 Satz 1 Dublin-III-VO nahelegen würden.</w:t>
      </w:r>
    </w:p>
    <w:p>
      <w:r>
        <w:rPr>
          <w:b/>
        </w:rPr>
        <w:t>E. 7.2.1</w:t>
      </w:r>
    </w:p>
    <w:p>
      <w:r>
        <w:t>Die Beschwerdeführererin hat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Auch unter Berücksichtigung der von der Beschwerdeführerin vorgebrachten Behandlung während ihres Aufenthalts in Kroatien besteht kein Grund zur Annahme, die sie bei einer Rückführung erwartenden Bedingungen in Kroatien seien derart schlecht, dass sie zu einer Verletzung von Art. 3 EMRK oder Art. 3 FoK führen könnten.</w:t>
      </w:r>
    </w:p>
    <w:p>
      <w:r>
        <w:rPr>
          <w:b/>
        </w:rPr>
        <w:t>E. 7.2.2</w:t>
      </w:r>
    </w:p>
    <w:p>
      <w:r>
        <w:t>Die in der Beschwerde erwähnten - und im erstinstanzlichen Verfahren mit einem Arztbericht belegten - gesundheitlichen Beeinträchtigungen der Beschwerdeführerin sind offensichtlich nicht von derartiger Schwere, dass sie die Feststellung der Unzulässigkeit im Sinne der restriktiven Rechtsprechung zu rechtfertigen vermöchten.</w:t>
      </w:r>
    </w:p>
    <w:p>
      <w:r>
        <w:rPr>
          <w:b/>
        </w:rPr>
        <w:t>E. 7.2.3</w:t>
      </w:r>
    </w:p>
    <w:p>
      <w:r>
        <w:t>Im Übrigen sind die Mitgliedstaaten verpflichtet, Antragstellenden die erforderliche medizinische Versorgung zugänglich zu machen, die zumindest die Notversorgung und die unbedingt erforderliche Behandlung von Krankheiten und schweren psychischen Störungen umfasst (Art. 19 Abs. 1 Aufnahmerichtlinie); Antragstellenden mit besonderen Bedürfnissen ist die erforderliche medizinische oder sonstige Hilfe (einschliesslich nötigenfalls einer geeigneten psychologischen Betreuung) zu gewähren (Art. 19 Abs. 2 Aufnahmerichtlinie). In Kroatien bestehen neben den staatlichen Einrichtungen zudem Angebote von Nichtregierungsorganisationen für die psychische Betreuung, womit von einem genügenden Behandlungsangebot auszugehen ist (vgl. statt vieler etwa das Urteil BVGer E-5872/2022 vom 6. März 2023 E. 7.2.3 m.w.H.).</w:t>
      </w:r>
    </w:p>
    <w:p>
      <w:r>
        <w:rPr>
          <w:b/>
        </w:rPr>
        <w:t>E. 7.3.1</w:t>
      </w:r>
    </w:p>
    <w:p>
      <w:r>
        <w:t>Wie erwähnt,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7.5</w:t>
      </w:r>
    </w:p>
    <w:p>
      <w:r>
        <w:t>Somit bleibt Kroatien der für die Behandlung der Asylgesuche der Beschwerdeführerin zuständige Mitgliedstaat gemäss Dublin-III-VO. Kroatien ist verpflichtet, das Asylverfahren gemäss Art. 23, 24, 25 und 29 wiederaufzunehmen.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Kroatien in Anwendung von Art. 44 AsylG ebenfalls zu Recht angeordnet (Art. 32 Bst. a AsylV 1).</w:t>
      </w:r>
    </w:p>
    <w:p>
      <w:r>
        <w:rPr>
          <w:b/>
        </w:rPr>
        <w:t>E. 9</w:t>
      </w:r>
    </w:p>
    <w:p>
      <w:r>
        <w:t>Nach dem Gesagten ist die Beschwerde abzuweisen und die Verfügung des SEM zu bestätigen.</w:t>
      </w:r>
    </w:p>
    <w:p>
      <w:r>
        <w:rPr>
          <w:b/>
        </w:rPr>
        <w:t>E. 10</w:t>
      </w:r>
    </w:p>
    <w:p>
      <w:r>
        <w:t>Das Beschwerdeverfahren ist mit vorliegendem Urteil abgeschlossen. Der superprovisorisch angeordnete Vollzugsstopp fällt mit dem heutigen Entscheid dahin.</w:t>
      </w:r>
    </w:p>
    <w:p>
      <w:r>
        <w:rPr>
          <w:b/>
        </w:rPr>
        <w:t>E. 11</w:t>
      </w:r>
    </w:p>
    <w:p>
      <w:r>
        <w:t>Die mit der Beschwerde gestellten Gesuche um Gewährung der unentgeltlichen Prozessführung und Verbeiständung sind - ungeachtet der Frage der prozessualen Bedürftigkeit - abzuweisen, weil die Begehren aussichtlos waren (Art. 65 Abs. 1 VwVG und Art 102m AsylG).</w:t>
      </w:r>
    </w:p>
    <w:p>
      <w:r>
        <w:rPr>
          <w:b/>
        </w:rPr>
        <w:t>E. 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