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E-6187/2011 vom 22. Januar 2013</w:t>
      </w:r>
    </w:p>
    <w:p>
      <w:r>
        <w:t>Bundesverwaltungsgericht, 2013-01-22, DE</w:t>
      </w:r>
    </w:p>
    <w:p>
      <w:r>
        <w:rPr>
          <w:b/>
        </w:rPr>
        <w:t xml:space="preserve">Quelle: </w:t>
      </w:r>
      <w:r>
        <w:t>https://mcp.opencaselaw.ch/entscheid/bvger_E-6187_2011</w:t>
      </w:r>
    </w:p>
    <w:p>
      <w:r>
        <w:t>FR: TAF E-6187/2011 du 22 janvier 2013</w:t>
      </w:r>
    </w:p>
    <w:p>
      <w:r>
        <w:t>IT: TAF E-6187/2011 del 22 gennaio 2013</w:t>
      </w:r>
    </w:p>
    <w:p>
      <w:pPr>
        <w:pStyle w:val="Heading2"/>
      </w:pPr>
      <w:r>
        <w:t>Regeste</w:t>
      </w:r>
    </w:p>
    <w:p>
      <w:r>
        <w:t>Aufhebung vorläufige Aufnahme (Asyl)</w:t>
      </w:r>
    </w:p>
    <w:p>
      <w:pPr>
        <w:pStyle w:val="Heading2"/>
      </w:pPr>
      <w:r>
        <w:t>Erwägungen</w:t>
      </w:r>
    </w:p>
    <w:p>
      <w:r>
        <w:rPr>
          <w:b/>
        </w:rPr>
        <w:t>E. 1.1</w:t>
      </w:r>
    </w:p>
    <w:p>
      <w:r>
        <w:t>Das Bundesverwaltungsgericht entscheidet endgültig über Beschwerden gegen Verfügungen des BFM in Sachen Aufhebung der vorläufigen Aufnahme von Ausländerinnen und Ausländern in der Schweiz (Art. 84 Abs. 2 und 3 des Bundesgesetzes vom 16. Dezember 2005 über die Ausländerinnen und Ausländer [AuG, SR 142.20] i.V.m. Art. 31 und 33 des Verwaltungs­gerichts­gesetzes vom 17. Juni 2005 [VGG, SR 173.32]; Art. 83 Bst. c Ziff. 3 des Bundesgerichtsgesetzes vom 17. Juni 2005 [BGG, SR 173.110]).</w:t>
      </w:r>
    </w:p>
    <w:p>
      <w:r>
        <w:rPr>
          <w:b/>
        </w:rPr>
        <w:t>E. 1.2</w:t>
      </w:r>
    </w:p>
    <w:p>
      <w:r>
        <w:t>Die Voraussetzungen für das Eintreten auf die Beschwerde sind vorliegend erfüllt.</w:t>
      </w:r>
    </w:p>
    <w:p>
      <w:r>
        <w:rPr>
          <w:b/>
        </w:rPr>
        <w:t>E. 1.3</w:t>
      </w:r>
    </w:p>
    <w:p>
      <w:r>
        <w:t>Mit Beschwerde kann die Verletzung von Bundesrecht, die unrichtige oder unvollständige Feststellung des rechtserheblichen Sachverhalts und die Unangemessenheit gerügt werden (Art. 112 Abs. 1 AuG i.V.m. Art. 49 des Bundesgesetzes vom 20. Dezember 1968 über das Verwaltungsverfahren [VwVG, SR 172.021]).</w:t>
      </w:r>
    </w:p>
    <w:p>
      <w:r>
        <w:rPr>
          <w:b/>
        </w:rPr>
        <w:t>E. 2.1</w:t>
      </w:r>
    </w:p>
    <w:p>
      <w:r>
        <w:t>Gemäss Art. 84 Abs. 1 AuG überprüft das BFM periodisch, ob die Voraussetzungen für die vorläufige Aufnahme - eine Ersatzmassnahme für den nicht durchführbaren Vollzug der Wegweisung - noch gegeben sind. Ist dies nicht mehr der Fall, hebt es die vorläufige Aufnahme auf und ordnet den Vollzug der Wegweisung an (Art. 84 Abs. 2 AuG). Die Voraussetzungen für die vorläufige Aufnahme sind nicht mehr gegeben, wenn der Vollzug der Wegweisung zulässig (Art. 83 Abs. 3 AuG) und es der ausländischen Person auch zumutbar (Art. 83 Abs. 4 AuG) und möglich ist (Art. 83 Abs. 2 AuG), sich rechtmässig in ihren Heimat-, in den Herkunfts- oder in einen Drittstaat zu begeben.</w:t>
      </w:r>
    </w:p>
    <w:p>
      <w:r>
        <w:rPr>
          <w:b/>
        </w:rPr>
        <w:t>E. 2.2</w:t>
      </w:r>
    </w:p>
    <w:p>
      <w:r>
        <w:t>Nachdem die Verfügung des BFM vom 30. September 2009 unangefochten in Rechtskraft erwuchs, steht vorliegend fest, dass der Beschwerdeführer die Flüchtlingseigenschaft nicht erfüllt, weshalb das in Art. 5 des Asylgesetzes vom 26. Juni 1998 (AsylG, SR 142.31) verankerte Prinzip des flüchtlingsrechtlichen Nonrefoulements im vorliegenden Verfahren keine Anwendung findet und die Überprüfung der vom Beschwerdeführer geltend gemachten Asylgründe nicht mehr Gegenstand dieses Beschwerdeverfahrens bildet.</w:t>
      </w:r>
    </w:p>
    <w:p>
      <w:r>
        <w:rPr>
          <w:b/>
        </w:rPr>
        <w:t>E. 3.1</w:t>
      </w:r>
    </w:p>
    <w:p>
      <w:r>
        <w:t>Der Beschwerdeführer macht in formeller Hinsicht geltend, die Vorinstanz habe den Anspruch auf rechtliches Gehör und die Begründungspflicht verletzt, weil sie die relevanten Herkunftsländerinformationen, auf welche sie ihren Entscheid stütze, nicht offengelegt habe. Insbesondere habe sie es versäumt, nähere Angaben zu ihrer Dienstreise nach Sri Lanka zu machen. Der gebotenen Begründungspflicht sei die Vorinstanz auch deshalb nicht in genügendem Masse nachgekommen, weil sie in der angefochtenen Verfügung ohne ausreichende Begründung von der langjährigen Praxis des Bundesverwaltungsgerichts abgewichen sei.</w:t>
      </w:r>
    </w:p>
    <w:p>
      <w:r>
        <w:rPr>
          <w:b/>
        </w:rPr>
        <w:t>E. 3.2</w:t>
      </w:r>
    </w:p>
    <w:p>
      <w:r>
        <w:t>Diese verfahrensrechtlichen Rügen sind vorab zu prüfen, da sie allenfalls geeignet wären, eine Kassation der vorinstanzlichen Verfügung zu bewirken (vgl. Entscheide und Mitteilungen der Schweizerischen Asylrekurskommission [EMARK] 2004 Nr. 38 und 1994 Nr. 1; Fritz Gygi, Bundesverwaltungsrechtspflege, 2. Aufl., Bern 1983, S. 233, mit weiteren Hinweisen, S. 287 und 297; Alfred Kölz/Isabelle Häner, Verwaltungsverfahren und Verwaltungsrechtspflege des Bundes; 2. Aufl., Zürich 1998, S. 225, mit weiteren Hinweisen). Der Anspruch der Beschwerdepartei auf rechtliches Gehör (Art. 29 Abs. 2 BV; Art. 29 VwVG) umfasst verschiedene Teilgehalte, die als Mitwirkungsrechte und Informationsansprüche ausgestaltet sind. Zu nennen ist unter anderem das Recht auf Einsicht in die Verfahrensakten (Art. 26-28 VwVG), das der betroffenen Person ermöglichen soll, die Grundlagen eines sie betreffenden Entscheids zu kontrollieren und gegebenenfalls wirksam und sachbezogen Stellung zu beziehen (vgl. etwa Michele Albertini, Der verfassungsmässige Anspruch auf rechtliches Gehör im Verwaltungsverfahren des modernen Staates, Bern 2000, S. 255, m.w.N.; Stephan C. Brunner, in: Auer/Müller/Schindler [Hrsg.], Kommentar zum VwVG, Zürich/St. Gallen 2008, Art. 26, N 2; Kölz/Häner, a.a.O., Rz. 295; Bernhard Waldmann/Magnus Oeschger, in: Waldmann/Weissenberger [Hrsg.], Praxiskommentar VwVG, Zürich/Basel/Genf 2009, Art. 26, N 4 ff., 32 f.). Demnach ist den Parteien grundsätzlich Einsicht in die Akten zu gewähren, und dieses Recht darf nur ausnahmsweise verweigert werden. Unter die als Beweismittel dienenden Aktenstücke im Sinne von Art. 26 Abs. 1 Bst. b VwVG fallen insbesondere die im konkreten Fall tatsächlich als Beweismittel herangezogenen Aktenstücke und zudem alle Unterlagen, welche grundsätzlich geeignet sind, in einem konkreten Verfahren als Beweismittel zu dienen (vgl. dazu BGE 132 V 387 E. 3.2 S. 389, EMARK 1994 Nr. 1 E. 3a; vgl. zudem Waldmann/Oeschger, a.a.O., Art. 26, N 58). Des Weiteren ist im vorliegenden Zusammenhang auf die Begründungspflicht hinzuweisen. Die Begründung eines Entscheids soll der betroffenen Person die Tatsachen und Rechtsnormen zur Kenntnis bringen, die für die entscheidende Behörde massgeblich waren. Damit soll der Adressat des Entscheids ausserdem in die Lage versetzt werden, den Entscheid sachgerecht anzufechten (vgl. Felix Uhlmann/Alexandra Schwank, in: Waldmann/Weissenberger [Hrsg.], a.a.O., Art. 35, N 10, 17).</w:t>
      </w:r>
    </w:p>
    <w:p>
      <w:r>
        <w:rPr>
          <w:b/>
        </w:rPr>
        <w:t>E. 3.3</w:t>
      </w:r>
    </w:p>
    <w:p>
      <w:r>
        <w:t>Soweit in der Beschwerde gerügt wird, die Vorinstanz habe die Begründungspflicht verletzt, indem sie es unterlassen habe, die relevanten Herkunftsländerinformationen, auf welche sie ihren Entscheid stütze, offenzulegen, ist Folgendes festzuhalten: Es ist zwar unbestritten, dass das Bundesamt im September 2010 eine Dienstreise nach Sri Lanka durchführte, um Erkenntnisse zur dortigen Lage nach dem Ende des Bürgerkriegs und zur Frage zu gewinnen, ob und inwiefern sich die Zumutbarkeit einer allfälligen Rückkehr sri-lan-kischer Asylsuchender in ihren Heimatstaat verändert habe. In der angefochtenen Verfügung ist jedoch kein ausdrücklicher Hinweis auf eine konkrete Dienstreise enthalten. Das BFM verweist vorliegend einzig auf öffentlich zugängliche Quellen und hat somit keine Verfahrensverletzung begangen. Selbst wenn angenommen werden müsste, das BFM hätte durch eine implizite Erwähnung einer Dienstreise das rechtliche Gehör verletzt, wäre eine solche Verletzung durch die Instruktionsmassnahmen (vgl. Bst. H) geheilt worden.</w:t>
      </w:r>
    </w:p>
    <w:p>
      <w:r>
        <w:rPr>
          <w:b/>
        </w:rPr>
        <w:t>E. 3.4</w:t>
      </w:r>
    </w:p>
    <w:p>
      <w:r>
        <w:t>Bezüglich der Rüge, die Begründungspflicht und der Anspruch des Beschwerdeführers auf rechtliches Gehör seien verletzt, weil das BFM ohne Begründung von der langjährigen Praxis des Bundesverwaltungsgerichts abgewichen sei, ist Folgendes festzuhalten: Das Bundesamt hat in der angefochtenen Verfügung nachvollziehbar und im Einzelnen hinreichend differenziert aufgezeigt, weshalb es zum Schluss gelangt, dass sich die allgemeine Sicherheitslage in Sri Lanka nach Ende des bewaffneten Konfliktes zwischen der sri-lankischen Regierung und den LTTE (Liberation Tigers of Tamil Eelam) im Mai 2009 deutlich entspannt habe und sich die Lebensbedingungen insoweit verbessert hätten, als eine Rückkehr auch in den Norden und Osten Sri Lankas grundsätzlich wieder zumutbar sei, während im ehemals von den LTTE kontrollierten Vanni-Gebiet die Lebensbedingungen nach wie vor als sehr schwierig einzustufen seien. Die Vorinstanz muss sich zwar auch hinsichtlich der Frage der generellen Zumutbarkeit des Vollzugs der Wegweisung in Herkunftsländer abgewiesener Asylsuchender an die Praxis des Bundesverwaltungsgerichts halten, ist aber befugt, mit einlässlicher Begründung von einer bestehenden Praxis abzuweichen, wenn es diese als anpassungsbedürftig erachtet (vgl. BVGE 2010/54 E. 9.2.1 S. 801 f.). Dass das BFM den Vollzug der Wegweisung in die Nord- und Ostprovinz Sri Lankas aufgrund der jüngsten Entwicklungen in Sri Lanka aus den in der Verfügung dargelegten Gründen als zumutbar einschätzt, ist daher nicht zu beanstanden. Das Bundesverwaltungsgericht hat sich im Übrigen kurz nach Erlass der angefochtenen Verfügung in BVGE 2011/24 zur aktuellen Situation in Sri Lanka geäussert und eine Anpassung seiner in BVGE 2008/2 publizierten Praxis vorgenommen, welche mit derjenigen des Bundesamts im Ergebnis weitgehend übereinstimmt (vgl. E. 4.3.2 nachstehend). In Anbetracht der insgesamt ausgewogenen und differenzierten Erwägungen ist nicht ersichtlich, inwiefern die Vorinstanz ihre Begründungspflicht verletzt haben könnte.</w:t>
      </w:r>
    </w:p>
    <w:p>
      <w:r>
        <w:rPr>
          <w:b/>
        </w:rPr>
        <w:t>E. 3.5</w:t>
      </w:r>
    </w:p>
    <w:p>
      <w:r>
        <w:t>Bei dieser Sachlage besteht somit keine Veranlassung, die angefochtene Verfügung aus formellen Gründen aufzuheben.</w:t>
      </w:r>
    </w:p>
    <w:p>
      <w:r>
        <w:rPr>
          <w:b/>
        </w:rPr>
        <w:t>E. 4.1</w:t>
      </w:r>
    </w:p>
    <w:p>
      <w:r>
        <w:t>Ist der Vollzug der Wegweisung nicht zulässig, nicht zumutbar oder nicht möglich, so regelt das Bundesamt das Anwesenheitsverhältnis nach den gesetzlichen Bestimmungen über die vorläufige Aufnahme von Ausländern (Art. 44 Abs. 2 AsylG; Art. 83 Abs. 1 AuG).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w:t>
      </w:r>
    </w:p>
    <w:p>
      <w:r>
        <w:rPr>
          <w:b/>
        </w:rPr>
        <w:t>E. 4.2.1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4.2.2</w:t>
      </w:r>
    </w:p>
    <w:p>
      <w:r>
        <w:t>Wie bereits in Erwägung 2.2 vorstehend ausgeführt, kann das in Art. 5 AsylG verankerte Prinzip des flüchtlingsrechtlichen Nonrefou-lements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in sein Heimatland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ihm nicht gelungen. Der Beschwerdeführer gehört keiner in Bezug auf die Flüchtlingseigenschaft relevanten Risikogruppe an, weshalb nicht davon auszugehen ist, ihm drohe im Rahmen der routinemässigen Überprüfung bei der Rückkehr diesbezüglich eine unmenschliche Behandlung. Die allgemeine Menschenrechtssituation in Sri Lanka lässt den Wegweisungsvollzug zum heutigen Zeitpunkt ebenfalls nicht als unzulässig erscheinen (vgl. BVGE 2011/24 E. 10.4.2). Aufgrund der vorstehenden Erwägungen erübrigt sich eine Auseinandersetzung mit den diesbezüglichen Entgegnungen in der Beschwerde und in der Stellungnahme vom 20. April 2012, weil diese nicht geeignet sind, eine andere Beurteilung herbeizuführen. Nach dem Gesagten ist der Vollzug der Wegweisung sowohl im Sinne der asyl- als auch der völkerrechtlichen Bestimmungen zulässig.</w:t>
      </w:r>
    </w:p>
    <w:p>
      <w:r>
        <w:rPr>
          <w:b/>
        </w:rPr>
        <w:t>E. 4.3.1</w:t>
      </w:r>
    </w:p>
    <w:p>
      <w:r>
        <w:t>Gemäss Art. 83 Abs. 4 AuG kann der Vollzug für Ausländerinnen und Ausländer unzumutbar sein, wenn sie im Heimatland aufgrund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4.3.2</w:t>
      </w:r>
    </w:p>
    <w:p>
      <w:r>
        <w:t>Im erwähnten Grundsatzurteil BVGE 2011/24 hat das Gericht eine aktuelle Analyse der allgemeinen, heute herrschenden Sicherheits- und politischen Lage in Sri Lanka vorgenommen und die in BVGE 2008/2 publizierte Wegweisungsvollzugspraxis teilweise geändert. Danach hat sich seit dem Ende des bewaffneten Konflikts zwischen der sri-lankischen Armee und den LTTE im Mai 2009 die allgemeine Lage erheblich verbessert (vgl. a.a.O. E. 13.1). Die Lage in der Nordprovinz ist indessen gebietsweise sehr unterschiedlich. So herrscht in den Gebieten, die bereits seit längerer Zeit unter Regierungskontrolle stehen, das heisst in den Distrikten Jaffna und in den südlichen Teilen der Distrikte Vavuniya und Mannar (mit anderen Worten: die Nordprovinz unter Ausschluss des sogenannten Vanni-Gebietes), keine Situation allgemeiner Gewalt. Zudem ist die dortige politische Lage nicht dermassen angespannt, dass eine Rückkehr dorthin als generell unzumutbar eingestuft werden müsste. Angesichts der im humanitären und wirtschaftlichen Bereich nach wie vor fragilen Lage drängt sich aber beim Wegweisungsvollzug in dieses Gebiet eine sorgfältige, zurückhaltende Beurteilung der individuellen Zumutbarkeitskriterien auf. Nebst der allgemeinen Zumutbarkeit (u.a. sozioökonomische und medizinische Aspekte, Kindeswohl etc.) ist auch dem zeitlichen Element gebührend Rechnung zu tragen. Für Personen, die aus der Nordprovinz stammen und dieses Gebiet erst nach Beendigung des Bürgerkrieges im Mai 2009 verlassen haben, ist der Wegweisungsvollzug (zurück) in dieses Gebiet als grundsätzlich zumutbar zu beurteilen, wenn davon ausgegangen werden kann, dass die betreffende Person auf die gleiche oder auf eine gleichwertige Lebens- und Wohnsituation zurückgreifen kann, die im Zeitpunkt der Ausreise geherrscht hat und dem Wegweisungsvollzug nichts im Wege steht. Liegt der letzte Aufenthalt der betreffenden Person in der Nordprovinz indessen längere Zeit zurück (vor Beendigung des Bürgerkrieges im Mai 2009) oder ergeben sich aus den Akten konkrete Hinweise auf eine massgebliche Veränderung der Lebensumstände seit der Ausreise, sind die aktuell vorliegenden Lebens- und Wohnverhältnisse sorgfältig abzuklären und auf die Zumutbarkeit des Wegweisungsvollzuges hin zu überprüfen. In diesem Zusammenhang erscheinen namentlich die Existenz eines tragfähigen Beziehungsnetzes und die konkreten Möglichkeiten der Sicherung des Existenzminimums sowie der Wohnsituation als massgebliche Faktoren. Falls solche begünstigende Faktoren in der Nordprovinz nicht vorliegen, ist eine zumutbare Aufenthaltsalternative im übrigen Staatsgebiet, namentlich im Grossraum Colombo, zu prüfen (vgl. a.a.O. E. 13.2.1).</w:t>
      </w:r>
    </w:p>
    <w:p>
      <w:r>
        <w:rPr>
          <w:b/>
        </w:rPr>
        <w:t>E. 4.3.3</w:t>
      </w:r>
    </w:p>
    <w:p>
      <w:r>
        <w:t>Der junge und soweit aktenkundig gesunde Beschwerdeführer stammt aus B._______, wo er bis wenige Monate vor seiner Ausreise aus Sri Lanka (...) (also nach Beendigung des Krieges) bei seinen Eltern wohnte, in der Landwirtschaft arbeitete und (...). Aus den Akten ergeben sich keine Anhaltspunkte dafür, dass die Eltern sich unterdessen nicht mehr dort aufhalten würden. Er hat somit in der Heimat ein verwandtschaftliches Beziehungsnetz, und es ist davon auszugehen, dass er an seinem langjährigen Wohn- und Arbeitsort auch über einen Freundes- und Bekanntenkreis verfügt. Diese Umstände sollten es ihm ermöglichen, eine neue Existenz aufzubauen. Vor diesem Hintergrund ist festzustellen, dass er die in BVGE 2011/24 statuierten Kriterien für eine Bejahung der Zumutbarkeit des Wegweisungsvollzugs erfüllt. Blosse soziale und wirtschaftliche Schwierigkeiten, von denen die ansässige Bevölkerung im Allgemeinen betroffen ist, genügen nicht, um eine konkrete Gefährdung im Sinne von Art. 83 Abs. 4 AuG darzustellen (vgl. BVGE 2008/34 E. 11.2.2). Es ist somit nicht davon auszugehen, dass er bei einer Rückkehr in seinen Heimatstaat in eine existenzielle Notlage geraten wird. Der Vollzug der Wegweisung erweist sich damit sowohl in genereller als auch in individueller Hinsicht als zumutbar.</w:t>
      </w:r>
    </w:p>
    <w:p>
      <w:r>
        <w:rPr>
          <w:b/>
        </w:rPr>
        <w:t>E. 4.4</w:t>
      </w:r>
    </w:p>
    <w:p>
      <w:r>
        <w:t>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4.5</w:t>
      </w:r>
    </w:p>
    <w:p>
      <w:r>
        <w:t>Zusammenfassend hat die Vorinstanz den Wegweisungsvollzug zu Recht als zulässig, zumutbar und möglich erachtet. Nach dem Gesagten fällt deshalb eine Verlängerung der vorläufigen Aufnahme ausser Betracht (Art. 83 Abs. 1-4 AuG).</w:t>
      </w:r>
    </w:p>
    <w:p>
      <w:r>
        <w:rPr>
          <w:b/>
        </w:rPr>
        <w:t>E. 5</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6</w:t>
      </w:r>
    </w:p>
    <w:p>
      <w:r>
        <w:t>Bei diesem Ausgang des Verfahrens sind die Kosten dem Beschwerdeführer aufzuerlegen(Art. 63 Abs. 1 und 5 VwVG) und auf insgesamt Fr. 600.- festzusetzen (Art. 1-3 des Reglements vom 21. Februar 2008 über die Kosten und Entschädigungen vor dem Bundesverwaltungsgericht [VGKE, SR 173.320.2]). Sie werden mit dem von ihm am 28. November 2011 geleisteten Kostenvorschuss verrechnet.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