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E-6185/2012 vom 24. Januar 2013</w:t>
      </w:r>
    </w:p>
    <w:p>
      <w:r>
        <w:t>Bundesverwaltungsgericht, 2013-01-24, DE</w:t>
      </w:r>
    </w:p>
    <w:p>
      <w:r>
        <w:rPr>
          <w:b/>
        </w:rPr>
        <w:t xml:space="preserve">Quelle: </w:t>
      </w:r>
      <w:r>
        <w:t>https://mcp.opencaselaw.ch/entscheid/bvger_E-6185_2012</w:t>
      </w:r>
    </w:p>
    <w:p>
      <w:r>
        <w:t>FR: TAF E-6185/2012 du 24 janvier 2013</w:t>
      </w:r>
    </w:p>
    <w:p>
      <w:r>
        <w:t>IT: TAF E-6185/2012 del 24 gennaio 2013</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endgültig (vgl. Art. 83 Bst. d Ziff. 1 des Bundesgerichtsgesetzes vom 17. Juni 2005 [BGG, SR 173.110]; Art. 105 des Asylgesetzes vom 26. Juni 1998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Das Bundesverwaltungsgericht ist zur Beurteilung der vorliegenden Rechtsverzögerungsbeschwerde somit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der Beschwerdeführer um Asyl in Form einer anfechtbaren Verfügung ersucht, ist er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(Urteil des Bundesgerichts 2P.16/2002; BVGE 2008/15; Markus Müller, a.a.O., Rz. 10 zu Art. 46a; René Rhinow/Heinrich Koller/Christina Kiss/Daniela Thurnherr/Denise Brühl-Moser, Öffentliches Prozessrecht, 2. Aufl., Basel 2010, Rz. 1606). Nachdem der Beschwerdeführer auf sein Schreiben vom 8. August 2012 keine Antwort vom BFM erhielt, stellte er mit Schreiben vom 18. September 2012 rechtliche Schritte in Aussicht für den Fall, dass bis Ende November 2012 kein Entscheid ergeht. Am 21. September 2012 beantwortete BFM das Schreiben vom 8. August 2012, ohne auf das Schreiben vom 18. September 2012 Bezug zu nehmen. Unter diesen Umständen durfte der Beschwerdeführer Ende November 2012 nach Treu und Glauben annehmen, dass die Vorinstanz vorderhand keine anfechtbare Verfügung erlässt. Da er bereits am 1. Dezember 2012 - wie in Aussicht gestellt - beim Bundesverwaltungsgericht Beschwerde einreichte, ist diese fristgerecht erhoben. Auf die frist- und formgerecht eingereichte Beschwerde ist einzutreten.</w:t>
      </w:r>
    </w:p>
    <w:p>
      <w:r>
        <w:rPr>
          <w:b/>
        </w:rPr>
        <w:t>E. 2</w:t>
      </w:r>
    </w:p>
    <w:p>
      <w:r>
        <w:t>Der Beschwerdeführer führt unter Hinweis auf Art. 37 Abs. 2 AsylG aus, die letzte Verfahrenshandlung habe im Mai 2010 stattgefunden. Die Vorinstanz sei somit während zwei Jahren und sechs Monaten, trotz mehrmaliger Aufforderung, untätig geblieben. Der Grund für die lange Verfahrensdauer könne nicht allein in einem personeller Engpass gesehen werden. Über gewisse Kategorien werde innert kürzester Zeit entschieden. Der Verweis auf die Prioritätenordnung lasse vermuten, dass das vorliegende Verfahren bewusst zugunsten anderer Verfahren liegen bleibe.</w:t>
      </w:r>
    </w:p>
    <w:p>
      <w:r>
        <w:rPr>
          <w:b/>
        </w:rPr>
        <w:t>E. 3.1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objektiven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 Markus Müller, a.a.O. Rz. 6 zu Art. 46a). Ein Verschulden der Behörde an der Verzögerung wird nicht vorausgesetzt, weshalb eine Behörde das Rechtsverzögerungsverbot auch verletzt, wenn sie wegen Personalmangels oder Überlastung nicht innert angemessener Frist verfügt (Felix Uhlmann / Simone Wälle-Bär, in: Praxiskommentar VwVG, Waldmann/Weissenberger (Hrsg.), Zürich 2009, Art. 46a N 20).</w:t>
      </w:r>
    </w:p>
    <w:p>
      <w:r>
        <w:rPr>
          <w:b/>
        </w:rPr>
        <w:t>E. 3.3</w:t>
      </w:r>
    </w:p>
    <w:p>
      <w:r>
        <w:t>Nach Art. 37 AsylG sind Entscheide nach den Art. 38-40 in der Regel innerhalb von 20 Arbeitstagen nach der Gesuchstellung zu treffen (Abs. 2). Sind weitere Abklärungen nach Art. 41 erforderlich, so ist der Entscheid in der Regel innerhalb von drei Monaten nach Gesuchstellung zu treffen (Abs. 3).</w:t>
      </w:r>
    </w:p>
    <w:p>
      <w:r>
        <w:rPr>
          <w:b/>
        </w:rPr>
        <w:t>E. 4.1</w:t>
      </w:r>
    </w:p>
    <w:p>
      <w:r>
        <w:t>Dem Bundesverwaltungsgericht ist die hohe Belastung der Vorinstanz bekannt. Im Zeitpunkt der Einreichung der Beschwerde (November 2012) waren rund 19'000 Gesuche bei der Vorinstanz rechtshängig. Weiter ist dem Gericht bekannt, dass die Vorinstanz nicht untätig ist und Massnahmen getroffen hat, um die Pendenzen abzubauen. In Anbetracht der hohen Pendenz kann deshalb offensichtlich nicht jedes Asylverfahren innerhalb der im Asylgesetz vorgegebenen Fristen entschieden werden. Aufgrund dieser besonderen Umstände sind Verfahren, die länger als die gesetzlichen Behandlungsfristen dauern, unvermeidbar, was in der gesetzlichen Formulierung von Art. 17 Abs. 2 AsylG ("in der Regel") zum Ausdruck kommt.</w:t>
      </w:r>
    </w:p>
    <w:p>
      <w:r>
        <w:rPr>
          <w:b/>
        </w:rPr>
        <w:t>E. 4.2</w:t>
      </w:r>
    </w:p>
    <w:p>
      <w:r>
        <w:t>Der Beschwerdeführer suchte am 23. März 2010 um Asyl nach. Am 30. März 2010 fand die Erstbefragung und am 20. Mai 2010 die Anhörung statt. Seither, mithin seit rund zweieinhalb Jahren, hat die Vorinstanz keine weiteren erkennbaren Verfahrenshandlungen vorgenommen. Sodann ist festzustellen, dass sich im vorliegende Verfahren weder besonders schwierige Sachverhalts- noch Rechtsfragen stellen. Zudem hat die Vorinstanz im massgebenden Zeitraum zahlreiche Verfahren, die im gleichen Zeitraum eingeleitet wurden und denen ein ähnlicher Sachverhalt zu Grund liegt, entschieden. Demensprechend hat sie in der Vernehmlassung auch nur auf die hohe Geschäftslast, die Prioritätenordnung und die mangelnden Kapazitäten hingewiesen und keine individuell-konkreten Gründe angeführt. Die Vorinstanz hat demnach ohne ersichtlichen Grund die gesetzlich vorgegebene Behandlungsfrist von drei Monaten um rund zweieinhalb Jahre überschritten, was einer massiven Überschreitung gleichkommt. Sie hat auf das erste Ersuchen im November 2011 nicht reagiert, das zweite Schreiben erst nach mehr als einem Monat beantwortet, und das letzte Ersuchen vom 18. September 2011, in dem rechtliche Schritte vorbehalten werden, findet sich nicht im Asyldossier. Eine Nichtbehandlung während rund 30 Monaten ist unbesehen allfälliger anderer überzeitiger Verfahren grundsätzlich zu lange. Das Beschleunigungsgebot von Art. 29 Abs. 1 BV ist somit verletzt.</w:t>
      </w:r>
    </w:p>
    <w:p>
      <w:r>
        <w:rPr>
          <w:b/>
        </w:rPr>
        <w:t>E. 5</w:t>
      </w:r>
    </w:p>
    <w:p>
      <w:r>
        <w:t>Die Rüge der Rechtsverzögerung erweist sich demnach als begründet. Die Beschwerde ist gutzuheissen. Die Akten gehen an die Vorinstanz zurück, verbunden mit der Anweisung, das Asylgesuch des Beschwerdeführers vom 23. März 2010 beförderlich zu behandeln und zügig einer anfechtbaren Verfügung zuzuführen.</w:t>
      </w:r>
    </w:p>
    <w:p>
      <w:r>
        <w:rPr>
          <w:b/>
        </w:rPr>
        <w:t>E. 6.1</w:t>
      </w:r>
    </w:p>
    <w:p>
      <w:r>
        <w:t>Bei diesem Ausgang des Verfahrens sind dem Beschwerdeführer keine Kosten aufzuerlegen (Art. 63 Abs. 1 und 2 VwVG).</w:t>
      </w:r>
    </w:p>
    <w:p>
      <w:r>
        <w:rPr>
          <w:b/>
        </w:rPr>
        <w:t>E. 7</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Der Rechtsvertreter hat eine zweiseitige Eingabe verfasst und die Vernehmlassung studiert. Unter Berücksichtigung der massgebenden Berechnungsfaktoren (Art. 8, 9 und 11 VGKE) ist die Parteientschädigung auf Fr. 400.-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