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E-6184/2006 vom 25. Juni 2010</w:t>
      </w:r>
    </w:p>
    <w:p>
      <w:r>
        <w:t>Bundesverwaltungsgericht, 2010-06-25, DE</w:t>
      </w:r>
    </w:p>
    <w:p>
      <w:r>
        <w:rPr>
          <w:b/>
        </w:rPr>
        <w:t xml:space="preserve">Quelle: </w:t>
      </w:r>
      <w:r>
        <w:t>https://mcp.opencaselaw.ch/entscheid/bvger_E-6184_2006</w:t>
      </w:r>
    </w:p>
    <w:p>
      <w:r>
        <w:t>FR: TAF E-6184/2006 du 25 juin 2010</w:t>
      </w:r>
    </w:p>
    <w:p>
      <w:r>
        <w:t>IT: TAF E-6184/2006 del 25 giugno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31 - 33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Art. 37 VGG i.V.m. Art. 48 Abs. 1 VwVG). Auf die Beschwerde ist einzutreten.</w:t>
      </w:r>
    </w:p>
    <w:p>
      <w:r>
        <w:rPr>
          <w:b/>
        </w:rPr>
        <w:t>E. 3</w:t>
      </w:r>
    </w:p>
    <w:p>
      <w:r>
        <w:t>Mit der Beschwerde vom 13. Dezember 2006 wird lediglich der Vollzug der Wegweisung (Dispositivziffern 4 und 5 der vorinstanzlichen Verfügung) angefochten. Somit ist die Verfügung des BFM vom 13. November 2006, soweit sie die Frage des Asyls und der Flüchtlingseigenschaft betrifft, in Rechtskraft erwachsen. Auch die Wegweisung als solche (Dispositivziffer 3) ist damit grundsätzlich nicht mehr zu überprüfen, ist die Anordnung der Wegweisung doch die Regelfolge der Abweisung eines Asylgesuches und lässt die Eingabe eine Begründung, dass diese zu Unrecht angeordnet worden wäre, vermissen. Im Folgenden ist daher lediglich zu untersuchen, ob die Vorinstanz den Wegweisungsvollzug zu Recht als durchführbar erachtet hat oder ob allenfalls an 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der Grundsatz der Nichtrückschiebung nur Personen schützt, die die Flüchtlingseigenschaft erfüllen. Da rechtskräftig festgestellt ist,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Menschenrechtssituation im Heimatstaat (die Region Darfur ausgenommen; vgl. untenstehende Erwägungen) lässt den Wegweisungsvollzug zum heutigen Zeitpunkt nicht als unzulässig erscheinen. Es erscheint im Weiteren nicht als wahrscheinlich, dass der Beschwerdeführer, welcher jedenfalls nicht glaubhaft gemacht hat, er habe sich politisch exponiert, im Falle seiner Rückkehr in den Sudan allein infolge seiner Ethnie und seines Auslandaufenthaltes respektive seiner Asylgesuchstellung in der Schweiz in menschenrechtswidriger Weise festgehalten und verhört würde (siehe diesbezügliche Behauptungen in der Beschwerdeschrift). Nach dem Gesagten ist der Vollzug der Wegweisung sowohl im Sinne der asyl- als auch der völkerrechtlichen Bestimmungen zulässig.</w:t>
      </w:r>
    </w:p>
    <w:p>
      <w:r>
        <w:rPr>
          <w:b/>
        </w:rPr>
        <w:t>E. 4.4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4.5</w:t>
      </w:r>
    </w:p>
    <w:p>
      <w:r>
        <w:t>Hinsichtlich der Frage der Zumutbarkeit führte das BFM aus, eine Rückführung des Beschwerdeführers in seine ursprüngliche Heimatregion Darfur sei aufgrund der dort herrschenden gegenwärtigen Situation nicht zumutbar. Hingegen sei es dem Beschwerdeführer zuzumuten, sich in einem anderen Teil des sudanesischen Staatsgebietes niederzulassen, da dort keine Situation allgemeiner Gewalt herrsche und auch keine individuellen Gründe vorlägen, welche gegen die Zumutbarkeit eines Wegweisungsvollzugs in eine Region ausserhalb von Darfur sprächen. Der junge, gesunde und kräftige Beschwerdeführer habe vom zweiten bis zum dreizehnten Lebensjahr in C._______ und damit in relativer Nähe zur Hauptstadt gelebt. Dort verfüge er über ein soziales Umfeld. Er habe (...) eine gute Schulbildung absolviert. [Schulische und berufliche Voraussetzungen]. Er verstehe, [berufliche Tätigkeit], und habe Berufserfahrung als [...] sammeln können. Angesichts dieser Voraussetzungen bestünden keine Hinweise darauf, dass es ihm nicht möglich sein sollte, im Sudan eine eigene Existenz aufzubauen.</w:t>
      </w:r>
    </w:p>
    <w:p>
      <w:r>
        <w:rPr>
          <w:b/>
        </w:rPr>
        <w:t>E. 4.6</w:t>
      </w:r>
    </w:p>
    <w:p>
      <w:r>
        <w:t>In der Beschwerde wird unter Hinweis auf ein Urteil der ARK (Entscheidungen und Mitteilungen der Schweizerischen Asylrekurskommission / EMARK 2006 Nr. 25) darauf hingewiesen, dass in Darfur einer der schlimmsten Konfliktherde mit innen- wie auch aussenpolitischen, ethnischen und wirtschaftlichen Komponenten bestehe, welcher weiterhin unzählige Opfer von Menschenrechtsverletzungen fordere. Eine Verbesserung der Lage sei auch nach der im erwähnten Urteil vertretenen Auffassung nicht in Sicht. In demselben Urteil habe die ARK die Frage, ob eine innerstaatliche Fluchtalternative bestehe, verneint. Die dabei wiedergegebenen Informationen seien auch in Bezug auf die Frage, ob eine innerstaatliche Wohnsitzalternative zur Verfügung stehe, von Bedeutung. Gemäss einem Bericht des UNHCR vom Februar 2006 sowie einem Bericht der UNMIS vom August 2006 lebten in Khartoum ungefähr zwei Millionen Binnenflüchtlinge. Diese seien im Sudan sozial und wirtschaftlich marginalisiert. Sie seien häufig Opfer von Belästigungen und willkürlicher Gewalt und müssten mit der Zerstörung ihrer Lager, Zwangsumsiedlungen und Deportationen nach Darfur rechnen. Sie würden oftmals gezwungen, sich in Slums und wüstenähnlichen Gebieten niederzulassen, wo es keine Infrastruktur gebe. Die Behörden seien nicht gewillt, sie gegen Diskriminierungen und weitere Verfolgungshandlungen zu schützen. Das UNHCR empfehle deshalb, Personen aus Darfur zumindest vorläufig aufzunehmen und zurzeit keine nicht-arabisch-stämmigen Personen aus Darfur gegen ihren Willen in den Sudan auszuweisen. Der Bericht von "Aegis Trust" vom Juni 2006 komme zum Schluss, dass die Lebensbedingungen für intern Vertriebene in den Lagern und Siedlungen in und um Khartoum teilweise schlechter seien als in Darfur selbst. In der Beschwerde wird weiter geltend gemacht, es bestehe eine grosse Wahrscheinlichkeit, dass der Beschwerdeführer im Falle seiner Rückkehr in den Sudan gezwungen würde, sich in einem Flüchtlingslager oder einer Siedlung für intern Vertriebene niederzulassen. Ob diesfalls überhaupt die Möglichkeit einer sozialen Integration bestünde, sei mehr als fraglich. Der Beschwerdeführer wäre angesichts der gegenwärtigen Lage im Sudan kaum fähig, sich eine wirtschaftliche Existenz aufzubauen. Der Umstand, dass der Beschwerdeführer einen Teil seiner Kindheit in der Nähe der Hauptstadt verbracht habe, bedeute nicht, dass er dort über ein tragfähiges Beziehungsnetz verfüge. Seine Familienangehörigen lebten, falls sie noch am Leben seien, immer noch in der Region Darfur. Angesichts der zwei Millionen Flüchtlinge in Khartum sei es trotz der Ausbildungen des Beschwerdeführers unwahrscheinlich, dass er sich eine wirtschaftliche Existenz aufbauen könne.</w:t>
      </w:r>
    </w:p>
    <w:p>
      <w:r>
        <w:rPr>
          <w:b/>
        </w:rPr>
        <w:t>E. 4.7</w:t>
      </w:r>
    </w:p>
    <w:p>
      <w:r>
        <w:t>Darfur, die angebliche Geburtsregion des Beschwerdeführers, ist seit mehreren Jahren Schauplatz eines blutigen Bürgerkrieges. Die Vorinstanz hat zwar zu Recht festgestellt, dass in der Region Darfur eine Situation allgemeiner Gewalt herrscht und der Vollzug der Wegweisung dorthin unzumutbar ist. Ebenso hat sie aber erwogen, dass der Beschwerdeführer die Region Darfur bereits im Alter von zwei Jahren zusammen mit seinen Eltern verlassen hat und seine Sozialisierung einerseits in C._______ (Bundesstaat D._______) und andererseits in E_______ (Libyen) erfahren hat. Den einzigen längeren Aufenthalt im Raume Darfur nach seiner Rückkehr aus Libyen, welchen er an einem ihm unbekannten Ort im Gefängnis verbracht haben will, vermag er nach Ansicht des Bundesverwaltungsgerichts ebenfalls nicht als überwiegend glaubhaft darzustellen. So ist die Schilderung der Ereignisse im Sudan nach der angeblichen Rückkehr aus Libyen derart vage und widersprüchlich ausgefallen, dass gar zweifelhaft ist, ob der Beschwerdeführer nach seinem Libyenaufenthalt nochmals in den Sudan zurückgekehrt ist. Der Beschwerdeführer vermag einzig aus dem Umstand, dass er die beiden ersten Lebensjahre in Darfur verbracht hat, nichts für sich aus dem in der Beschwerde angerufenen EMARK-Entscheid zu Darfur und der Situation der Darfur-Flüchtlinge abzuleiten. Somit ist in seinem Fall nicht zu prüfen, ob ihm als Darfur-Flüchtling in Khartoum eine inländische Fluchtalternative offenstünde. Das Aussageverhalten des Beschwerdeführers sowie der Umstand, dass er die ihm vorgehaltenen Unzulänglichkeiten in seinen Aussagen in der Beschwerde unwidersprochen gelassen hat, erschweren zwar eine seriöse Prüfung der zu erwartenden Rückkehrsituation. Aufgrund der Aktenlage geht das Gericht jedoch davon aus, dass dem Beschwerdeführer eine Rückkehr in den Raum C._______, wo er einen Grossteil seiner Sozialisierung erlebt und die Schulen besucht hat und wohin er nach seinem Libyenaufenthalt auch vorerst zurückgekehrt sei, zugemutet werden kann. Es darf angenommen werden, dass er dort abgesehen von seinem Jugendfreund, der ihm zur Ausreise verholfen haben soll, über weitere soziale Kontakte verfügt, auf die er zurückgreifen kann, zumal er seinerzeit von seiner gesamten Familie dorthin begleitet worden ist. In diesem Zusammehang sei erwähnt, dass das Gericht auch nicht als glaubhaft erachtet, dass der Beschwerdeführer im Sudan über keine familiären Kontakte mehr verfügt (der Beschwerdeführer hat eigenen Angaben zufolge im Heimatland seine Eltern, deren 14 Geschwister sowie seine eigenen [...] Geschwister zurückgelassen). Ungeachtet des Vorhandenseins eines familiären Beziehungsnetzes darf jedoch bereits allein aufgrund der persönlichen Voraussetzungen des Beschwerdeführers ([schulische und berufliche Voraussetzungen] und ist jung, gesund und ledig) angenommen werden, dass diesem die soziale und wirtschaftliche Eingliederung in seinem Heimatland mit hoher Wahrscheinlichkeit gelingen wird. Nach dem Gesagten erweist sich der Vollzug der Wegweisung auch als zumutbar.</w:t>
      </w:r>
    </w:p>
    <w:p>
      <w:r>
        <w:rPr>
          <w:b/>
        </w:rPr>
        <w:t>E. 4.8</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dem Beschwerdeführer aufzuerlegen (Art. 63 Abs. 1 VwVG). Nachdem aber aufgrund der Aktenlage weiterhin von seiner Bedürftigkeit auszugehen ist und die Beschwerde nicht als aussichtslos bezeichnet werden kann, ist in Gutheissung des Gesuchs um Gewährung der unentgeltlichen Rechtspflege im Sinne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