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E-6175/2024 vom 22. November 2024</w:t>
      </w:r>
    </w:p>
    <w:p>
      <w:r>
        <w:t>Bundesverwaltungsgericht, 2024-11-22, FR</w:t>
      </w:r>
    </w:p>
    <w:p>
      <w:r>
        <w:rPr>
          <w:b/>
        </w:rPr>
        <w:t xml:space="preserve">Quelle: </w:t>
      </w:r>
      <w:r>
        <w:t>https://mcp.opencaselaw.ch/entscheid/bvger_E-6175_2024</w:t>
      </w:r>
    </w:p>
    <w:p>
      <w:r>
        <w:t>FR: TAF E-6175/2024 du 22 novembre 2024</w:t>
      </w:r>
    </w:p>
    <w:p>
      <w:r>
        <w:t>IT: TAF E-6175/2024 del 22 novembre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E-6175/2024 Page 6</w:t>
      </w:r>
    </w:p>
    <w:p>
      <w:r>
        <w:rPr>
          <w:b/>
        </w:rPr>
        <w:t>E. 3.1</w:t>
      </w:r>
    </w:p>
    <w:p>
      <w:r>
        <w:t>En l'occurrence, l’intéressé n’a pas été en mesure de faire apparaître la pertinence de ses motifs.</w:t>
      </w:r>
    </w:p>
    <w:p>
      <w:r>
        <w:rPr>
          <w:b/>
        </w:rPr>
        <w:t>E. 3.2</w:t>
      </w:r>
    </w:p>
    <w:p>
      <w:r>
        <w:t>Il ressort en effet de ses déclarations qu’il n’a jamais entretenu d’engagement politique d’une particulière intensité : il aurait participé, en 2010, à des marches de protestations, aurait apporté dès 2013 une aide de nature indéterminée au « parti » (par quoi il faut sans doute entendre le Parti démocratique des peuples [Halklarin Demokratik Partisi ; HDP]) et se serait fait remarquer de la police en décembre 2015, lors des événements de E._______ ; un grand nombre de combattants du PKK avaient alors occupé la ville et n’avaient été délogés par l’armée qu’après trois mois d’affrontements, qui avaient provoqué la mort de plus de 200 personnes ainsi que de nombreuses destructions (cf. […] et consulté en date du 25 octobre 2024). Ces événements sont toutefois très antérieurs à son départ du pays et sans relation avec ce dernier.</w:t>
      </w:r>
    </w:p>
    <w:p>
      <w:r>
        <w:rPr>
          <w:b/>
        </w:rPr>
        <w:t>E. 3.3</w:t>
      </w:r>
    </w:p>
    <w:p>
      <w:r>
        <w:t>Le recourant fait également valoir dans son recours qu’il aurait été maltraité durant sa garde à vue de juin 2018 et aurait alors perdu neuf dents. Le Tribunal rappelle cependant que l'asile n'est pas accordé en guise de compensation pour des préjudices subis par le passé, mais sur la base d'un besoin avéré et actuel de protection ; la reconnaissance de la qualité de réfugié au sens de l’art. 3 LAsi implique, par conséquent, l’existence d’un besoin de protection actuel, sur la base de la situation prévalant au moment de la décision ou, sur recours, au moment du prononcé de l’arrêt. En d'autres termes, il faut un lien temporel étroit de causalité entre les préjudices subis et le départ du pays, ainsi qu'un lien matériel étroit de causalité entre les préjudices subis et le besoin de protection ; le lien temporel de causalité entre les préjudices subis et la fuite du pays est rompu lorsqu'un temps relativement long s'est écoulé entre la dernière persécution subie et le départ à l'étranger, sauf si des motifs objectifs plausibles ou des raisons personnelles peuvent expliquer un départ différé (cf. arrêt E-2595/2021 du 6 mai 2024 consid. 2.4 et réf. cit., dont ATAF 2011/50 consid. 3.1.2 ; 2008/34 consid. 7.1 ; 2008/12 consid. 5.2 ; 2008/4 consid. 5.4 ; 2007/31 consid. 5.2 et 5.3). En l’espèce, les événements dépeints auraient eu lieu six ans avant le départ de l’intéressé, sans qu’un motif impérieux puisse justifier cet écart</w:t>
      </w:r>
    </w:p>
    <w:p>
      <w:r>
        <w:t>E-6175/2024 Page 7 de temps, de sorte qu’ils ne sont pas en relation de causalité avec ce dernier.</w:t>
      </w:r>
    </w:p>
    <w:p>
      <w:r>
        <w:rPr>
          <w:b/>
        </w:rPr>
        <w:t>E. 3.4</w:t>
      </w:r>
    </w:p>
    <w:p>
      <w:r>
        <w:t>Par ailleurs, il ressort des documents produits que le recourant a été impliqué dans trois procédures pénales distinctes : Une première procédure a été ouverte pour meurtre, tentative de meurtre (art. 81 al. 1 du code pénal turc [TCK]) et possession d’une arme non déclarée, sous le numéro d’instruction (…). Le meurtre, commis à J._______ en date du (…) janvier 2016 apparaît avoir eu lieu lors d’un achat de stupéfiants et ne revêtir ainsi aucun caractère politique ; la peine susceptible d’être infligée au recourant serait dès lors légitime, rien ne permettant d’admettre qu’il ferait l’objet d’une sanction disproportionnée. De plus, celui-ci a déclaré que l’arme utilisée avait été retrouvée sur le corps d’un combattant du PKK cinq mois plus tard, ce qui permettait de le disculper (cf. procès-verbal [p-v] de l’audition du 1er juillet 2024, question 44) ; l’acte d’accusation du (…) mars 2019 (n° […]) confirme ce point. L’affaire est encore pendante auprès du tribunal pénal de Diyarbakir (procédure n° […]), qui a émis un mandat d’amener contre le recourant en date du (…) janvier 2024. La deuxième procédure est consécutive à l’interpellation de l’intéressé lors d’une opération de police dans son village ; retenu du (…) juin au (…) juillet 2018, il a été accusé (numéro d’instruction […]) d’aide à une organisation terroriste (art. 314 al. 2 TCK), mais libéré le (…) juillet suivant par décision du juge pénal (numéro de dossier […]), les mesures de contrôle étant levées six mois plus tard ; un complément d’enquête a été ordonné le (…) juin 2022, mais la suite et l’issue de la procédure ne sont pas connues. Il ressort toutefois des déclarations du recourant qu’il n’était pas personnellement recherché mais a été interpellé sous l’identité de son cousin, en même temps que d’autres habitants du village, après une incursion du PKK. Une fois sa véritable identité établie et identifié comme sympathisant connu du HDP, il a été retenu pendant deux semaines avant d’être remis en liberté (cf. procès-verbal [p-v] de l’audition du 1er juillet 2024, question 44 [p. 7 et 8]) ; les mesures de contrôle ont ensuite été supprimées. Il apparaît dès lors que les activités politiques de l’intéressé, au demeurant de faible ampleur (cf. consid. 3.2), n’ont pas entraîné pour lui de conséquences sérieuses. Dès lors, même à supposer que la procédure soit toujours pendante – il n’a fourni aucune indication et n’a déposé aucune pièce se rapportant aux résultats du complément</w:t>
      </w:r>
    </w:p>
    <w:p>
      <w:r>
        <w:t>E-6175/2024 Page 8 d’enquête ordonné en juin 2022 – il peut être considéré que cette procédure, très antérieure à son départ, n’est plus de nature à le mettre en danger ; aucun acte d’instruction ne paraît d’ailleurs avoir été entrepris depuis plusieurs années. Enfin, une troisième procédure a été ouverte contre l’intéressé pour propagande en faveur d’une organisation terroriste (art. 7 al. 2 de la loi relative à la lutte contre le terrorisme), en raison de sa participation à des manifestations en 2010 ; elle a été suspendue (numéro d’instruction […]) en date du 6 décembre 2018, puis finalement classée le 8 octobre 2022. Rien ne permet ainsi de retenir qu’il court un danger pour ce motif. A cela s’ajoute que le recourant a vécu dans son village pendant presque six ans après sa libération, sans rencontrer d’ennuis et qu’il n’a pas pu expliquer de manière convaincante pourquoi il se serait senti concrètement en danger à l’époque de son départ ; il admet d’ailleurs avoir quitté la Turquie à la suite du choc émotionnel causé par la mort de son père (cf. p-v de l’audition du 1er juillet 2024, questions 50 à 52). Enfin, sa participation aux événements de E._______, remontant à plus de huit ans lorsqu’il a quitté la Turquie, ne semble pas avoir eu pour lui de suites dommageables.</w:t>
      </w:r>
    </w:p>
    <w:p>
      <w:r>
        <w:rPr>
          <w:b/>
        </w:rPr>
        <w:t>E. 3.5</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E-6175/2024 Page 9</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5.2.3</w:t>
      </w:r>
    </w:p>
    <w:p>
      <w:r>
        <w:t>En outre, pour les motifs indiqués,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w:t>
      </w:r>
    </w:p>
    <w:p>
      <w:r>
        <w:t>E-6175/2024 Page 10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w:t>
      </w:r>
    </w:p>
    <w:p>
      <w:r>
        <w:rPr>
          <w:b/>
        </w:rPr>
        <w:t>E. 5.3.3</w:t>
      </w:r>
    </w:p>
    <w:p>
      <w:r>
        <w:t>Le recourant provient de la province de Diyarbakir, qui fait partie des onze provinces affectées par le séisme de février 2023 et vers lesquelles l’exécution du renvoi requiert un examen au cas par cas ; la situation des personnes handicapées, fragiles, malades ou vulnérables pour d’autres raisons doit plus particulièrement être prise en considération (cf. arrêt de référence du Tribunal E-1308/2023 du 19 mars 2024 consid. 11.1 à 11.3). En l’espèce, l’intéressé a quitté la région de D._______ quinze mois après le séisme et n’a pas fait mention d’éventuels dégâts subis par son village. En outre, il est encore jeune, sans charge de famille, n’a pas de problèmes de santé notables, a fait des études et a été professionnellement actif dans plusieurs métiers ; il a déjà vécu dans d’autres régions de la Turquie et dispose d’un réseau familial, sa mère, quatre frères et une sœur vivant au village ou à Diyarbakir (cf. p-v de l’audition du 1er juillet 2024, questions 13, 25 à 29 ainsi que 32 à 34).</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E-6175/2024 Page 11 7. S'avérant manifestement infondé, le recours est rejeté dans une procédure à juge unique, avec l'approbation d'un second juge (art. 111 let. e LAsi). Il est dès lors renoncé à un échange d'écritures, le présent arrêt n'étant motivé que sommairement (art. 111a al. 1 et 2 LAsi). 8. L’arrêt étant rendu, la requête en dispense du versement d’une avance de frais est sans objet. 9.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E-6175/2024 Page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L'arrêt étant rendu, la requête en dispense du versement d'une avance de frais est sans objet.</w:t>
      </w:r>
    </w:p>
    <w:p>
      <w:r>
        <w:rPr>
          <w:b/>
        </w:rPr>
        <w:t>E. 9</w:t>
      </w:r>
    </w:p>
    <w:p>
      <w:r>
        <w:t>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