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E-6169/2015 vom 8. Oktober 2015</w:t>
      </w:r>
    </w:p>
    <w:p>
      <w:r>
        <w:t>Bundesverwaltungsgericht, 2015-10-08, DE</w:t>
      </w:r>
    </w:p>
    <w:p>
      <w:r>
        <w:rPr>
          <w:b/>
        </w:rPr>
        <w:t xml:space="preserve">Quelle: </w:t>
      </w:r>
      <w:r>
        <w:t>https://mcp.opencaselaw.ch/entscheid/bvger_E-6169_2015</w:t>
      </w:r>
    </w:p>
    <w:p>
      <w:r>
        <w:t>FR: TAF E-6169/2015 du 8 octobre 2015</w:t>
      </w:r>
    </w:p>
    <w:p>
      <w:r>
        <w:t>IT: TAF E-6169/2015 del 8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formgenügend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Vorinstanz führt in der angefochtenen Verfügung aus, der Beschwerdeführer verfüge über einen bis 2022 gültigen griechischen Aufenthaltstitel und könne sich somit legal in Griechenland aufhalten. Die griechischen Behörden hätten in ihrem Schreiben vom 15. September 2015 explizit festgehalten, dass der Beschwerdeführer bei einer Rückkehr nicht inhaftiert werde. Weiter bestehe aufgrund des gültigen Aufenthaltstitels auch keine Gefahr, dass Griechenland das Non-Refoulment-Gebot verletzen könnte. Sodann hätten die griechischen Behörden im genannten Schreiben dem Beschwerdeführer zugesichert, in Griechenland nach Wunsch ebenfalls ein Asylgesuch stellen zu können. In Bezug auf den beanstandeten Mangel an Arbeit in Griechenland sei anzumerken, dass in keinem Dublin-Mitgliedstaat ein grundsätzlicher Anspruch auf eine Arbeitsstelle bestünde.</w:t>
      </w:r>
    </w:p>
    <w:p>
      <w:r>
        <w:rPr>
          <w:b/>
        </w:rPr>
        <w:t>E. 3.3</w:t>
      </w:r>
    </w:p>
    <w:p>
      <w:r>
        <w:t>Die Vorinstanz hat zu Recht festgehalten, dass trotz der im Grundsatzurteil BVGE 2011/35 umgestossenen Vermutung, Griechenland halte als verfolgungssicherer Staat seine völkerrechtlichen Verpflichtungen in Bezug auf das Asylverfahren ein, eine Überstellung in gewissen Fällen zulässig ist. Namentlich trifft dies zu, wenn dem Gesuchsteller aufgrund einer Aufenthaltsbewilligung keine Gefahr der Inhaftierung oder der Rückschiebung droht (vgl. BVGE 2011/35 E. 4.13). Dass es sich bei Griechenland um einen verfolgungssicheren Drittstaat handelt, welcher dem Beschwerdeführer eine Aufenthaltsbewilligung erteilt hat, hat dieser in der Rechtsmitteleingabe zu Recht nicht in Frage gestellt. Ebenfalls zu Recht stellt der Beschwerdeführer nicht in Abrede, dass Griechenland für das Asylverfahren zuständig ist. Die Vorinstanz ist daher mit zutreffender Begründung auf das Asylgesuch nicht eingetreten.</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4.2</w:t>
      </w:r>
    </w:p>
    <w:p>
      <w:r>
        <w:t>Weder der Rechtsmitteleingabe noch den vorinstanzlichen Akten ist zu entnehmen, dass dem Beschwerdeführer in Griechenland eine Behandlung droht, die gegen eine Norm des zwingenden Völkerrechts verstossen würde. Der Mangel an Arbeit in Griechenland jedenfalls ist kein tauglicher Grund für einen Selbsteintritt der Schweiz. Die Vorinstanz hat zu Recht festgestellt, dass kein Dublin-Mitgliedstaat ein Recht auf Arbeit vermittelt. Der Beschwerdeführer kann sich jedoch bei der Arbeitssuche oder im Fall sozialstaatlicher Bedürftigkeit an die zuständigen griechischen Behörden wenden.</w:t>
      </w:r>
    </w:p>
    <w:p>
      <w:r>
        <w:rPr>
          <w:b/>
        </w:rPr>
        <w:t>E. 4.3</w:t>
      </w:r>
    </w:p>
    <w:p>
      <w:r>
        <w:t>Nach dem Gesagten besteht kein Anlass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4.4</w:t>
      </w:r>
    </w:p>
    <w:p>
      <w:r>
        <w:t>Schliesslich hat das SEM zu Recht festgehalten, es seien auch keine weiteren schwerwiegenden humanitären Gründe im Sinne von Art. 29a Abs. 3 der Asylverordnung 1 vom 11. August 1999 über Verfahrensfragen (AsylV 1, SR 142.311) zu erkennen, welche einer Überstellung des Beschwerdeführers nach Griechenland entgegenstehen und aus diesem Grunde einen Selbsteintritt als angezeigt erscheinen lassen würden (vgl. zur Kognitionsbeschränkung des Gerichts in diesem Zusammenhang: Urteil des BVGer E-641/2014 vom 13. März 2015 E. 6 ff. [zur Publikation vorgesehen]).</w:t>
      </w:r>
    </w:p>
    <w:p>
      <w:r>
        <w:rPr>
          <w:b/>
        </w:rPr>
        <w:t>E. 4.5</w:t>
      </w:r>
    </w:p>
    <w:p>
      <w:r>
        <w:t>Somit bleibt Griechenland der für die Behandlung des Asylgesuchs zuständige Mitgliedstaat gemäss Dublin-III-VO und ist verpflichtet, den Beschwerdeführer gemäss Art. 21, 22 und 29 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Griechenland in Anwendung von Art. 44 AsylG ebenfalls zu Recht angeordnet (Art. 32 Bst. a der Asylverordnung 1 vom 11. August 1999 [AsylV 1, SR 142.311]).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und die Verfügung des SEM zu bestätigen.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