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E-6166/2019 vom 17. Februar 2022</w:t>
      </w:r>
    </w:p>
    <w:p>
      <w:r>
        <w:t>Bundesverwaltungsgericht, 2022-02-17, FR</w:t>
      </w:r>
    </w:p>
    <w:p>
      <w:r>
        <w:rPr>
          <w:b/>
        </w:rPr>
        <w:t xml:space="preserve">Quelle: </w:t>
      </w:r>
      <w:r>
        <w:t>https://mcp.opencaselaw.ch/entscheid/bvger_E-6166_2019</w:t>
      </w:r>
    </w:p>
    <w:p>
      <w:r>
        <w:t>FR: TAF E-6166/2019 du 17 février 2022</w:t>
      </w:r>
    </w:p>
    <w:p>
      <w:r>
        <w:t>IT: TAF E-6166/2019 del 17 febbraio 2022</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2.2.2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w:t>
      </w:r>
    </w:p>
    <w:p>
      <w:r>
        <w:t>Selon les informations à disposition du Tribunal, seuls quatre groupes religieux sont officiellement reconnus en Erythrée : l'islam sunnite, l'Eglise orthodoxe érythréenne Tewahedo, l'Eglise catholique romaine et l'Eglise évangélique luthérienne d'Erythrée. Leurs membres sont autorisés à se réunir librement. En 2002, les autres groupes religieux ont été avertis que l'organisation de toute activité ou service religieux leur était interdite jusqu'à l'approbation de leurs demandes d'enregistrement. Toutefois, depuis lors, le gouvernement n'a approuvé l'enregistrement d'aucun groupe religieux supplémentaire, hormis celui des baha'is. Les membres de tous les groupes religieux sont, à des degrés divers, victimes d'abus et de restrictions de la part du gouvernement. Les membres de groupes religieux non enregistrés peuvent faire l'objet d'arrestations et de mauvais traitements et être libérés à condition qu'ils renoncent officiellement à leur foi. La pratique par certains de ces groupes de leur culte à domicile ou dans des locaux loués est toutefois tolérée dans de nombreux cas, à condition que cela se fasse discrètement. Cela étant, le gouvernement considère en particulier les témoins de Jéhovah et les musulmans salafistes comme des forces politiques et, par conséquent, restreint sévèrement leurs activités et les punit de longues peines de prison pour avoir pratiqué leur foi (cf. U.S. Department of State, 2020 Report on International Religious Freedom: Eritrea, 12 mai 2021 ; U. S. Commission on International Religious Freedom, Annual Report 2021, avril 2021, p. 20 s. ; UK Home Office, Country Policy and Information Note Eritrea: Religious groups, février 2018).</w:t>
      </w:r>
    </w:p>
    <w:p>
      <w:r>
        <w:rPr>
          <w:b/>
        </w:rPr>
        <w:t>E. 4.1</w:t>
      </w:r>
    </w:p>
    <w:p>
      <w:r>
        <w:t>En l'espèce, il convient d'abord d'examiner la vraisemblance au sens de l'art. 7 LAsi des allégations de l'intéressée sur ses motifs de fuite d'Erythrée.</w:t>
      </w:r>
    </w:p>
    <w:p>
      <w:r>
        <w:rPr>
          <w:b/>
        </w:rPr>
        <w:t>E. 4.2</w:t>
      </w:r>
    </w:p>
    <w:p>
      <w:r>
        <w:t>Si, comme les recourants le soutiennent dans leur réplique, l'intéressée a fourni différents détails au cours de ses auditions notamment quant aux mesures prises pour exercer sa foi dans son pays, il n'en demeure pas moins que ses déclarations prises dans leur ensemble ne peuvent pas être considérées comme vraisemblables au vu des incohérences qui entachent son récit. En effet, ses allégations sont divergentes sur la question de savoir si elle a rencontré son époux une fois celui-ci fait prisonnier (oui [cf. p.-v. de son audition du 29.11.2018 rép. 39 - 42] ou, selon une autre version, non [cf. p.-v. de l'audition du 23.10.2019 rép. 75 s.), sur la fréquence des réunions pentecôtistes à son domicile (fréquentes vu la discrétion assurée par l'éloignement de la maison de sa grand-mère de celles du voisinage [cf. p.-v. de son audition du 29.11.2018 rép. 75] ou, selon une autre version, rares vu sa peur de rencontrer des problèmes [cf. p.-v. de son audition du 23.10.2019 rép. 39]) et sur la description de la descente des militaires à son domicile à l'occasion de l'une de ces réunions (selon la première version, ceux-ci ont emmené la personne qui prêchait [cf. p.-v. de son audition du 26.7.2018 ch. 7.02 p. 10] ou, selon la version ultérieure, en substance, les militaires sont repartis seuls, faute de preuve de la tenue d'une réunion pentecôtiste [cf. p.-v. de son audition du 29.11.2018 rép. 75 et p.-v. de son audition du 23.10.2019 rép. 56 à 61]). En outre, l'intéressée, (...) de formation, ne parvient pas à rendre crédibles ses allégations sur son initiation en 2004 au pentecôtisme par son époux, lui-même (...) et (...), et sur sa pratique de sa foi au sein de ce groupe religieux illégal depuis lors jusqu'à son départ du pays en juin 2016. En effet, elle n'a pas mentionné spontanément sa fréquentation chaque samedi de l'église protestante proche de son domicile après la descente domiciliaire précitée en 2014 pour y participer à des répétitions chorales ni n'a expliqué pourquoi et dans quel but, en tant que pentecôtiste, elle avait participé à ces répétitions chorales au sein de l'Eglise protestante (cf. p.-v. de l'audition du 23.10.2019 rép. 63). Surtout, elle a relevé la forte similitude entre le protestantisme, autorisé en Erythrée (au sein de l'Eglise évangélique luthérienne d'Erythrée), et le pentecôtisme interdit dans ce pays (cf. p.-v. de l'audition du 23.10.2019 rép. 64 et 78) et n'a fourni qu'une description très pauvre des éléments caractéristiques du pentecôtisme par rapport au protestantisme qu'elle pratiquait avant 2004 et que pratiquaient encore ses parents (cf. p.-v. de l'audition du 23.10.2019 rép. 66 et 80 à 85). Elle n'est d'ailleurs pas même parvenue à expliciter la signification du mot « Pentecôte » (cf. p.-v. de l'audition du 23.10.2019 rép. 85). Enfin, les attestations d'un pasteur et de croyants relatives à la participation régulière de l'intéressée aux cultes au sein d'une église évangélique en Suisse (cf. Faits, let. E et H) ne sont par définition pas à même de prouver les allégations de celle-ci sur sa pratique religieuse en Erythrée de 2004 à juin 2016.</w:t>
      </w:r>
    </w:p>
    <w:p>
      <w:r>
        <w:rPr>
          <w:b/>
        </w:rPr>
        <w:t>E. 4.3</w:t>
      </w:r>
    </w:p>
    <w:p>
      <w:r>
        <w:t>Au vu de ce qui précède, tout bien pesé, l'intéressée ne rend vraisemblable ni la pratique en Erythrée de sa foi au sein d'un mouvement pentecôtiste depuis 2004 jusqu'à son départ en juin 2016 ni la descente de militaires à son domicile en 2014 lors d'une réunion de prières illégale. Les motifs de fuite allégués ne sont donc pas vraisemblables.</w:t>
      </w:r>
    </w:p>
    <w:p>
      <w:r>
        <w:rPr>
          <w:b/>
        </w:rPr>
        <w:t>E. 5</w:t>
      </w:r>
    </w:p>
    <w:p>
      <w:r>
        <w:t>Pour le reste, même si l'intéressée avait rendu vraisemblables ses allégations sur les éléments précités de son récit, il faudrait encore vérifier leur pertinence au sens de l'art. 3 LAsi (cf. dans le même sens, arrêt du Tribunal E-3406/2018 du 14 avril 2020 consid. 4.2), laquelle devrait en l'espèce être niée. En effet, durant cette période, elle n'a personnellement rencontré aucun problème concret avec les autorités érythréennes en raison de sa pratique du pentecôtisme et ce malgré cette descente domiciliaire en 2014 et l'emprisonnement présumé de son époux depuis 2013. En outre, aucun évènement particulier ne l'a incitée à quitter l'Erythrée spécifiquement en juin 2016. De plus, elle n'a fait que participer à des cérémonies de culte pentecôtiste privées et en petit comité. Or, selon les informations à disposition du Tribunal, une telle pratique cultuelle est souvent tolérée par les autorités érythréennes (cf. consid. 3 et réf. cit.). De plus, si l'intéressée a certes déclaré avoir fait preuve de prudence dans l'exercice de sa foi, à aucun moment il ne transparaît de ses déclarations que cette situation lui aurait été intolérable. Dans ces circonstances, il ne saurait être retenu que l'intéressée a été exposée à une pression psychique insupportable ni qu'elle risquerait de l'être à l'avenir. Au vu de ce qui précède, il n'y a pas non plus d'indices concrets qui pourraient laisser présager qu'elle pourrait être arrêtée à bref délai en raison de sa pratique passée du pentecôtisme, telle que décrite ci-avant, en cas de retour en Erythrée. Pour le reste, rien ne permet d'affirmer que sa participation régulière au culte dans une église évangélique en Suisse serait connue des autorités érythréennes et d'un quelconque intérêt aux yeux de celles-ci. Enfin, on ne peut pas déduire de la simple participation à ces services religieux qu'en cas de retour e Erythrée, l'intéressée ne pratiquerait pas sa foi de manière aussi discrète qu'avant son départ. Pour ces raisons, sa crainte d'être exposée à une persécution en cas de retour dans son pays d'origine en raison de sa pratique du pentecôtisme n'est pas objectivement fondée au sens de l'art. 3 LAsi.</w:t>
      </w:r>
    </w:p>
    <w:p>
      <w:r>
        <w:rPr>
          <w:b/>
        </w:rPr>
        <w:t>E. 6</w:t>
      </w:r>
    </w:p>
    <w:p>
      <w:r>
        <w:t>A noter encore que la sortie illégale de l'intéressée d'Erythrée (indépendamment de la question de sa vraisemblance qui peut demeurer indécise) ne suffit pas, en elle-même, à justifier la reconnaissance de la qualité de réfugié, conformément à l'arrêt de référence du Tribunal D-7898/2015 du 30 janvier 2017 consid. 5. En effet, il n'y a pas lieu, en ce qui la concerne, d'admettre un risque majeur de sanction en cas de retour, en l'absence de facteurs supplémentaires la faisant apparaître comme une personne indésirable aux yeux des autorités érythréennes. Enfin, il ne ressort pas du dossier que les enfants de l'intéressée, âgés entre-temps de (...), feraient valoir des motifs de persécution propres, qui auraient dû être établis par le SEM.</w:t>
      </w:r>
    </w:p>
    <w:p>
      <w:r>
        <w:rPr>
          <w:b/>
        </w:rPr>
        <w:t>E. 7</w:t>
      </w:r>
    </w:p>
    <w:p>
      <w:r>
        <w:t>Partant, la décision de refus de reconnaissance de la qualité de réfugié est conforme aux art. 3 et 7 LAsi. En conséquence, le rejet de la demande d'asile est fondé (cf. art. 49 LAsi).</w:t>
      </w:r>
    </w:p>
    <w:p>
      <w:r>
        <w:rPr>
          <w:b/>
        </w:rPr>
        <w:t>E. 8</w:t>
      </w:r>
    </w:p>
    <w:p>
      <w:r>
        <w:t>Aucune exception selon l'art. 32 al. 1 de l'ordonnance 1 sur l'asile du 11 août 1999 (OA 1, RS 142.311) à la règle générale du renvoi, énoncée à l'art. 44 LAsi, n'étant en l'occurrence réalisée, le Tribunal est tenu, de par la loi, de confirmer cette mesure.</w:t>
      </w:r>
    </w:p>
    <w:p>
      <w:r>
        <w:rPr>
          <w:b/>
        </w:rPr>
        <w:t>E. 9</w:t>
      </w:r>
    </w:p>
    <w:p>
      <w:r>
        <w:t>Au vu de ce qui précède, le recours doit être rejeté et la décision de refus de reconnaissance de la qualité de réfugié aux recourants, de rejet de leur demande d'asile et de renvoi (dans son principe) être confirmée.</w:t>
      </w:r>
    </w:p>
    <w:p>
      <w:r>
        <w:rPr>
          <w:b/>
        </w:rPr>
        <w:t>E. 10.1</w:t>
      </w:r>
    </w:p>
    <w:p>
      <w:r>
        <w:t>Les recourants ayant été dispensés du paiement des frais de procédure par décision incidente du 5 décembre 2019 (cf. Faits, let. F), il est statué sans frais.</w:t>
      </w:r>
    </w:p>
    <w:p>
      <w:r>
        <w:rPr>
          <w:b/>
        </w:rPr>
        <w:t>E. 10.2</w:t>
      </w:r>
    </w:p>
    <w:p>
      <w:r>
        <w:t>Les recourants ayant succombé dans leurs conclusions, le Tribunal doit verser à leur mandataire d'office une indemnité à titre d'honoraires et de débours pour les frais nécessaires occasionnés par le litige (cf. art. 8 al. 2 FITAF en relation avec l'art. 12 FITAF). En l'absence de dépôt d'un décompte de prestations, ils sont fixés sur la base du dossier (cf. art. 14 FITAF). Ils sont arrêtés à 975 francs. Ils ne comprennent aucun supplément TVA au sens de l'art. 9 al. 1 let. c FITAF, la mandataire n'ayant pas fait valoir de prétention à l'allocation de ce supplément.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