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E-6164/2023 vom 9. Oktober 2023</w:t>
      </w:r>
    </w:p>
    <w:p>
      <w:r>
        <w:t>Bundesverwaltungsgericht, 2023-10-09, DE</w:t>
      </w:r>
    </w:p>
    <w:p>
      <w:r>
        <w:rPr>
          <w:b/>
        </w:rPr>
        <w:t xml:space="preserve">Quelle: </w:t>
      </w:r>
      <w:r>
        <w:t>https://mcp.opencaselaw.ch/entscheid/bvger_E-6164_2023_d20231009</w:t>
      </w:r>
    </w:p>
    <w:p>
      <w:r>
        <w:t>FR: TAF E-6164/2023 du 9 octobre 2023</w:t>
      </w:r>
    </w:p>
    <w:p>
      <w:r>
        <w:t>IT: TAF E-6164/2023 del 9 ottobre 2023</w:t>
      </w:r>
    </w:p>
    <w:p>
      <w:pPr>
        <w:pStyle w:val="Heading2"/>
      </w:pPr>
      <w:r>
        <w:t>Regeste</w:t>
      </w:r>
    </w:p>
    <w:p>
      <w:r>
        <w:t>Asyl und Wegweisung (beschleunigtes Verfahren) | Asyl und Wegweisung (beschleunigtes Verfahren); Verfügung des SEM vom 9.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E-6164/2023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des SEM genügten die Vorbringen des Beschwerdefüh- rers den Anforderungen von Art. 3 AsylG an die Flüchtlingseigenschaft nicht. Seine geltend gemachten Verfolgungen – durch F._______, dessen Bruder G._______, seinen Vater und seine Verwandten – seien nicht aus einem in Art. 3 Abs. 1 AsylG genannten Motiv erfolgt und daher flüchtlingsrechtlich nicht relevant. Selbst wenn ein Verfolgungsmotiv bestünde, handle es sich bei den geltend gemachten Verfolgungen um Verfolgungen durch Dritte. Gemäss seinen eingereichten Dokumenten sei klar ersichtlich, dass die türkischen Behörden in seinem Fall schutzfähig und -willig seien. Er selbst erkläre, dass F._______ mehrmals rechtskräftig verurteilt worden sei. Das von ihm eingereichte Aussageprotokoll lasse weiter darauf schliessen, dass er bei den Behörden auch bezüglich der Drohungen von G._______</w:t>
      </w:r>
    </w:p>
    <w:p>
      <w:r>
        <w:t>E-6164/2023 Seite 6 Gehör gefunden habe. Somit bleibe es bei einer reinen Behauptung sei- nerseits, dass die türkischen Behörden nicht schutzwillig seien. Das SEM führt in Bezug auf die Stellungnahme zum Verfügungsentwurf aus, die ehemaligen politischen Tätigkeiten seines Vaters und Cousins vä- terlicherseits vermöchten für sich genommen keine flüchtlingsrechtliche Relevanz zu begründen. Ferner seien Personen gemäss dem Subsidiari- tätsprinzip mit einer innerstaatlichen Schutzalternative nicht auf den Schutz eines Drittstaates angewiesen. Die von ihm geltend gemachten Nachteile leiteten sich aus lokal oder regional beschränkten Verfolgungsmassnah- men ab. Da er sich diesen Verfolgungsmassnahmen durch einen Wegzug in einen anderen Teil der Türkei entziehen könne, sei er nicht auf den Schutz der Schweiz angewiesen.</w:t>
      </w:r>
    </w:p>
    <w:p>
      <w:r>
        <w:rPr>
          <w:b/>
        </w:rPr>
        <w:t>E. 5.2</w:t>
      </w:r>
    </w:p>
    <w:p>
      <w:r>
        <w:t>In seiner Beschwerdeeingabe wiederholte der Beschwerdeführer zu- nächst im Wesentlichen den bereits bekannten Sachverhalt. Er führte zu- dem aus, er sei weder nach dem Grund des Streites gefragt worden noch habe er die Möglichkeit gehabt sich diesbezüglich zu äussern. Die Verfü- gung des SEM sei pauschal und undifferenziert. Der rechtserhebliche Sachverhalt sei unvollständig und falsch festgestellt worden, zumal eine nachgewiesene Verfolgung bestehe.</w:t>
      </w:r>
    </w:p>
    <w:p>
      <w:r>
        <w:rPr>
          <w:b/>
        </w:rPr>
        <w:t>E. 6</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nicht genügen. In der knappen Beschwerdeeingabe vermag er den zutreffenden vorinstanzlichen Erwägungen nichts entgegenzuset- zen, zumal er sich darin mit den Argumenten der Vorinstanz in keiner Weise auseinandersetzt.</w:t>
      </w:r>
    </w:p>
    <w:p>
      <w:r>
        <w:rPr>
          <w:b/>
        </w:rPr>
        <w:t>E. 6.1</w:t>
      </w:r>
    </w:p>
    <w:p>
      <w:r>
        <w:t>Bezüglich der flüchtlingsrechtlichen Relevanz der Vorbringen kann mit den nachfolgenden beschwerdebezogenen Ergänzungen auf die zutreffen- den Ausführungen der Vorinstanz (vgl. a.a.O. E. II) verwiesen werden.</w:t>
      </w:r>
    </w:p>
    <w:p>
      <w:r>
        <w:rPr>
          <w:b/>
        </w:rPr>
        <w:t>E. 6.2</w:t>
      </w:r>
    </w:p>
    <w:p>
      <w:r>
        <w:t>Die pauschale Rüge der unrichtigen oder unvollständigen Feststellung des rechtserheblichen Sachverhalts zielt ins Leere. Nicht einsichtig ist, weshalb das SEM den rechtserheblichen Sachverhalt fehlerhaft festgestellt haben soll, zumal sich der Beschwerdeführer hierzu nicht substantiiert äus- sert. Mit der Ergänzung des Sachverhaltsteils der Beschwerde, wonach</w:t>
      </w:r>
    </w:p>
    <w:p>
      <w:r>
        <w:t>E-6164/2023 Seite 7 der Angriff ursprünglich seinem kurdisch-sprechenden Bruder gegolten habe und von Nationalisten ausgegangen sei, vermag er nichts zu seinen Gunsten abzuleiten, nicht zuletzt, weil den Akten eine solche Aussage nicht zu entnehmen ist (vgl. a.a.O. S. 3). Sodann erweist sich die Rüge der feh- lenden Befragung nach dem Grund des Streites aufgrund fehlender flücht- lingsrechtlicher Relevanz als unbehilflich. Für die (im Fliesstext der Be- schwerde) beantragte Aufhebung der Verfügung und Rückweisung der Sa- che an die Vorinstanz besteht nach dem Gesagten kein Anlass Hinsichtlich des nicht weiter begründeten Rechtsbegehrens, wonach das Asylgesuch des Beschwerdeführers als frauenspezifisches Asylgesuch zu prüfen sei, ist festzustellen, dass es sich dabei offensichtlich um ein Verse- hen des Rechtsvertreters handelt, zumal es sich beim Beschwerdeführer nicht um eine Frau handelt. Es erübrigen sich daher weitere Ausführungen hierzu.</w:t>
      </w:r>
    </w:p>
    <w:p>
      <w:r>
        <w:rPr>
          <w:b/>
        </w:rPr>
        <w:t>E. 6.3</w:t>
      </w:r>
    </w:p>
    <w:p>
      <w:r>
        <w:t>Zusammenfassend ist deshalb festzustellen, dass es dem Beschwer- deführer nicht gelungen ist, eine flüchtlingsrechtlich relevante Verfolgung im Sinne von Art. 3 AsylG darzulegen. Das SEM hat demnach zu Recht die Flüchtlingseigenschaft des Beschwerdeführers verneint und dessen Asyl- 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vgl. Urteil des BVGer D-2832/2022 vom 7. Juli 2022).</w:t>
      </w:r>
    </w:p>
    <w:p>
      <w:r>
        <w:rPr>
          <w:b/>
        </w:rPr>
        <w:t>E. 8.2.1</w:t>
      </w:r>
    </w:p>
    <w:p>
      <w:r>
        <w:t>Der Vollzug ist nicht zulässig, wenn völkerrechtliche Verpflichtungen der Schweiz (insb. Art. 5 Abs. 1 AsylG, Art. 33 Abs. 1 FK, Art. 25 Abs. 3 BV,</w:t>
      </w:r>
    </w:p>
    <w:p>
      <w:r>
        <w:t>E-6164/2023 Seite 8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auf- grund von Situationen wie Krieg, Bürgerkrieg, allgemeiner Gewalt und me- dizinischer Notlage konkret gefährdet sind.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w:t>
      </w:r>
    </w:p>
    <w:p>
      <w:r>
        <w:rPr>
          <w:b/>
        </w:rPr>
        <w:t>E. 8.2.2</w:t>
      </w:r>
    </w:p>
    <w:p>
      <w:r>
        <w:t>Es liegen keine Anhaltspunkte dafür vor, dass die Rückkehr des Be- schwerdeführers unzumutbar wäre. Diesbezüglich kann mangels Be- schwerdeausführungen auf die zutreffenden Erwägungen der Vorinstanz verwiesen werden, denen sich das Gericht vollumfänglich anschliesst (vgl. a.a.O. E. III Ziff. 2).</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E-6164/2023 Seite 9 [VGKE, SR 173.320.2]). Der bereits geleistete Kostenvorschuss in gleicher Höhe wird zur Bezahlung der Verfahrenskosten verwendet.</w:t>
      </w:r>
    </w:p>
    <w:p>
      <w:r>
        <w:t>(Dispositiv nächste Seite)</w:t>
      </w:r>
    </w:p>
    <w:p>
      <w:r>
        <w:t>E-6164/2023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