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E-6163/2016 vom 17. Oktober 2016</w:t>
      </w:r>
    </w:p>
    <w:p>
      <w:r>
        <w:t>Bundesverwaltungsgericht, 2016-10-17, DE</w:t>
      </w:r>
    </w:p>
    <w:p>
      <w:r>
        <w:rPr>
          <w:b/>
        </w:rPr>
        <w:t xml:space="preserve">Quelle: </w:t>
      </w:r>
      <w:r>
        <w:t>https://mcp.opencaselaw.ch/entscheid/bvger_E-6163_2016</w:t>
      </w:r>
    </w:p>
    <w:p>
      <w:r>
        <w:t>FR: TAF E-6163/2016 du 17 octobre 2016</w:t>
      </w:r>
    </w:p>
    <w:p>
      <w:r>
        <w:t>IT: TAF E-6163/2016 del 17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somit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w:t>
      </w:r>
    </w:p>
    <w:p>
      <w:r>
        <w:rPr>
          <w:b/>
        </w:rPr>
        <w:t>E. 4</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5</w:t>
      </w:r>
    </w:p>
    <w:p>
      <w:r>
        <w:t>Gemäss den Vorbringen des Beschwerdeführers sei er aufgrund der Vergangenheit seiner Familie, insbesondere wegen seiner Verwandtschaft mit Adolf Hitler, von seiner Familie fallengelassen und von Personen mit Beziehungen bis in die höchsten politischen Kreise beobachtet worden, wobei insbesondere Serge Dassault alles in Bewegung gesetzt habe, um ihm das Leben schwer zu machen, und ihm in China sogar einmal etwas ins Getränk gemischt worden sei, das sein Gedächtnis beeinträchtigt habe. Auch wenn diese Schilderungen des Beschwerdeführers unangenehme Vorfälle betreffen, weisen sie nach Ansicht des Bundesverwaltungsgerichts nicht die Intensität einer asylrelevanten Verfolgung auf. So wurden die durch Art. 3 AsylG geschützten Rechte des Beschwerdeführers auf Leben, auf körperliche Unversehrtheit und auf persönliche Freiheit dadurch nicht in grundlegender Weise verletzt. Dasselbe gilt für das pauschale Vorbringen des Beschwerdeführers in seiner Rechtsmitteleingabe, die Welt sei gegenüber Muslimen feindlich eingestellt. Ferner ist aufgrund der Schilderungen des Beschwerdeführers auch nicht davon auszugehen, dass er inskünftig eine begründete Furcht vor asylrelevanten Nachteilen hat. So ist bezüglich der Intensität seiner Verfolgungsvorbringen über die Zeit hinweg betrachtet keine Steigerung erkennbar. Folglich sind keine objektiven Hinweise dafür ersichtlich, dass dem Beschwerdeführer in Zukunft asylrelevante Nachteile drohen würden, auch wenn er sich davor fürchtet und mithin das subjektive Element der begründeten Furcht erfüllt ist. Im Übrigen ist dem SEM zuzustimmen, dass Frankreich ein verfolgungssicherer Staat im Sinne von Art. 6a Abs. 2 lit. a AsylG ist. Das Asylge­such des Beschwerdeführers wurde demnach im Ergebnis zu Recht abgelehnt und seine Flüchtlingseigenschaft korrekterweise verneint.</w:t>
      </w:r>
    </w:p>
    <w:p>
      <w:r>
        <w:rPr>
          <w:b/>
        </w:rPr>
        <w:t>E. 6.1</w:t>
      </w:r>
    </w:p>
    <w:p>
      <w:r>
        <w:t>Lehnt das SEM das Asylgesuch ab oder tritt es darauf nicht ein, so verfügt es in der Regel die Wegweisung aus der Schweiz und ordnet den Vollzug an; es berücksichtigt dabei den Grundsatz der Einheit der Familie (Art. 44 AsylG). Von dieser Regel wird dann abgewichen wenn die asylsuchende Person im Besitz einer gültigen ausländerrechtlichen Aufenthalts- oder Niederlassungsbewilligung ist (vgl. Art. 32 Bst. a der Asylverordnung 1 über Verfahrensfragen vom 11. August 1999 [AsylV1; SR 142.311]). Die Wegweisung wird praxisgemäss auch dann nicht verfügt, wenn eine asylsuchende Person grundsätzlich über einen Anspruch auf Erteilung einer Aufenthaltsbewilligung verfügt und diesbezüglich bereits ein Gesuch bei der zuständigen kantonalen Ausländerbehörde pendent ist (vgl. dazu z.B. Urteil des BVGer D-7983/2009 vom 13. Januar 2010 E. 4.1 [dritter Absatz] S. 7 f.).</w:t>
      </w:r>
    </w:p>
    <w:p>
      <w:r>
        <w:rPr>
          <w:b/>
        </w:rPr>
        <w:t>E. 6.2</w:t>
      </w:r>
    </w:p>
    <w:p>
      <w:r>
        <w:t>Im Falle des Beschwerdeführers ist weder der eine noch der andere Grund für den Verzicht auf die Anordnung der Wegweisung erfüllt. Es ist in diesem Zusammenhang zwar festzustellen, dass es sich beim Beschwerdeführer um einen Staatsangehörigen Frankreichs und damit um einen Bürger der Europäischen Union handelt,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Dieser Umstand steht jedoch vorliegend der Anordnung der Wegweisung nicht entgegen, da sich der Beschwerdeführer nicht aus einem der im Freizügigkeitsabkommen genannten Gründe in der Schweiz aufhält, sondern soweit ersichtlich alleine zwecks Einreichung eines Asylgesuches in die Schweiz eingereist ist.</w:t>
      </w:r>
    </w:p>
    <w:p>
      <w:r>
        <w:rPr>
          <w:b/>
        </w:rPr>
        <w:t>E. 6.3</w:t>
      </w:r>
    </w:p>
    <w:p>
      <w:r>
        <w:t>Somit ist die Anordnung der Wegweisung aus der Schweiz zu bestätigen.</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Frankreich ist demnach unter dem Aspekt von Art. 5 AsylG rechtmässig.</w:t>
      </w:r>
    </w:p>
    <w:p>
      <w:r>
        <w:rPr>
          <w:b/>
        </w:rPr>
        <w:t>E. 7.2.3</w:t>
      </w:r>
    </w:p>
    <w:p>
      <w:r>
        <w:t>Sodann ergeben sich weder aus den Aussagen des Beschwerde­führers noch aus den Akten Anhaltspunkte dafür, dass er für den Fall einer Ausschaffung nach Frankreich dort mit beachtlicher Wahrscheinlichkeit einer nach Art. 3 EMRK oder Art. 1 des Übereinkommens vom 10. Dezember 1984 gegen Folter und andere grausame, unmenschliche oder erniedrigende Behandlung oder Strafe (FoK, SR 0.105) verbotenen Strafe oder Behandlung ausgesetzt wäre. Der Vollzug der Wegweisung ist somit für zulässig zu erachten.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Aus den Akten sind keine Gründe ersichtlich, die gegen die Zumutbarkeit des Wegweisungsvollzugs sprechen könnten. Nach dem Gesagten erweist sich der Vollzug der Wegweisung als zumutbar.</w:t>
      </w:r>
    </w:p>
    <w:p>
      <w:r>
        <w:rPr>
          <w:b/>
        </w:rPr>
        <w:t>E. 7.4</w:t>
      </w:r>
    </w:p>
    <w:p>
      <w:r>
        <w:t>Schliesslich ist der Vollzug der Wegweisung auch als möglich zu bezeichnen ist (Art. 83 Abs. 2 AuG), liegt in den vorinstanzlichen Akten neben der französischen Identitätskarte des Beschwerdeführers doch auch sein nach wie vor gültiger Reisepass.</w:t>
      </w:r>
    </w:p>
    <w:p>
      <w:r>
        <w:rPr>
          <w:b/>
        </w:rPr>
        <w:t>E. 7.5</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und den rechtserheblichen Sachverhalt richtig sowie vollständig feststellt (Art. 106 Abs. 1 AsylG). Die Beschwerde ist als offensichtlich unbegründet abzuweisen.</w:t>
      </w:r>
    </w:p>
    <w:p>
      <w:r>
        <w:rPr>
          <w:b/>
        </w:rPr>
        <w:t>E. 9</w:t>
      </w:r>
    </w:p>
    <w:p>
      <w:r>
        <w:t>Bei diesem Verfahrensausgang wären die Kosten dem Beschwerdeführer aufzuerlegen (Art. 63 Abs. 1 VwVG). Gestützt auf Art. 6 Bst. b des Reglements vom 21. Februar 2008 über die Kosten und Entschädigungen vor dem Bundesverwaltungsgericht [VGKE, SR 173.320.2] erscheint es im vorliegenden Verfahren aber gerechtfertigt, auf die Erhebung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