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E-615/2024 vom 6. Februar 2024</w:t>
      </w:r>
    </w:p>
    <w:p>
      <w:r>
        <w:t>Bundesverwaltungsgericht, 2024-02-06, DE</w:t>
      </w:r>
    </w:p>
    <w:p>
      <w:r>
        <w:rPr>
          <w:b/>
        </w:rPr>
        <w:t xml:space="preserve">Quelle: </w:t>
      </w:r>
      <w:r>
        <w:t>https://mcp.opencaselaw.ch/entscheid/bvger_E-615_2024</w:t>
      </w:r>
    </w:p>
    <w:p>
      <w:r>
        <w:t>FR: TAF E-615/2024 du 6 février 2024</w:t>
      </w:r>
    </w:p>
    <w:p>
      <w:r>
        <w:t>IT: TAF E-615/2024 del 6 febbraio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E-615/2024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respektive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seiner Verfügung hielt das SEM zunächst fest, dass die im Dorf des Beschwerdeführers stattgefundenen Kämpfe auf politische Gegebenheiten in dessen Heimatstaat zurückzuführen seien. Zwar könne eine Gefährdung des Beschwerdeführers nicht ausgeschlossen werden. Dies genüge je- doch nicht, um Asylrelevanz zu entfalten, da er nicht das Ziel der Angriffe gewesen und mit den Kämpfern auch keinen Kontakt gehabt habe. Der Umstand, dass sich der Beschwerdeführer durch diese Kämpfe in seiner Ruhe eingeschränkt gefühlt habe, sei zwar nachvollziehbar. Allerdings weise dieser Nachteil insofern nicht die nötige Intensität auf, als er ihm ein menschenunwürdiges Leben in seiner Heimat nicht verunmögliche oder in unzumutbarer Weise erschwere. Aus dem vorliegenden Sachverhalt lasse sich keine spezifische Gefährdungsgrundlage für den Beschwerdeführer ableiten. So gehe es seiner Familie, die sowohl in Kinshasa als auch im Heimatdorf lebe, einschliesslich seines Vaters, gut, weshalb nicht von ei- nem konkreten Verfolgungsinteresse des Angreifers F._______ an der Per- son des Beschwerdeführers auszugehen sei. Eine objektive Furcht in Be- zug auf eine in der Zukunft liegende flüchtlingsrechtlich relevante Verfol- gung könne somit nicht bejaht werden. Die Vorbringen würden demgemäss den Anforderungen an die Flüchtlingseigenschaft gemäss Art. 3 AsylG nicht standhalten. Hinsichtlich des Wegweisungsvollzugs sei festzustellen, dass der Be- schwerdeführer bis zur Rückführung in den Heimatstaat das volljährige Al- ter erreicht haben werde, da ein allfälliges Beschwerdeverfahren mit allen dazugehörigen prozessualen Abläufen nicht vor seinem 18. Geburtstag ab- geschlossen sein werde. Angesichts dessen und weil er – ein junger und</w:t>
      </w:r>
    </w:p>
    <w:p>
      <w:r>
        <w:t>E-615/2024 Seite 5 gesunder Mann – über ein grosses soziales Beziehungsnetz in Kinshasa verfüge und auch die Wohnsituation sowie der Lebensunterhalt als gesi- chert zu betrachten seien, sei der Wegweisungsvollzug in seinen Heimat- staat zulässig und zumutbar.</w:t>
      </w:r>
    </w:p>
    <w:p>
      <w:r>
        <w:rPr>
          <w:b/>
        </w:rPr>
        <w:t>E. 4.2</w:t>
      </w:r>
    </w:p>
    <w:p>
      <w:r>
        <w:t>Demgegenüber hielt der Beschwerdeführer in seiner Rechtsmittelein- gabe fest, bezüglich der Überfälle der «E._______-Miliz» sei er als einziger Sohn und somit potentieller Nachfolger seines Vaters, des Dorfvorstehers, ebenfalls ins gegnerische Visier geraten. Daher sei nur er ausser Land ge- bracht worden; seine Mutter und seine Schwestern würden teils in Kinshasa, teils in C._______ leben. Auch weil die Sicherheitslage in der Provinz Maï-Ndombe sowie in Kinshasa weiterhin sehr schlecht sei, fürchte er sich in begründeter Weise vor einer künftigen Verfolgung durch die «E._______-Miliz», welche im ganzen Land aktiv sei. Seine Situation habe sich ferner dadurch verschlechtert, dass sein Vater aufgrund einer nichtge- heilten Verletzung inzwischen verstorben sei. Nach dem Gesagten sei die Flüchtlingseigenschaft des Beschwerdeführers erfüllt und ihm sei Asyl zu gewähren. Sodann sei darauf hinzuweisen, dass der Vollzug der Wegweisung einer minderjährigen Person im Rahmen des Übereinkommens über die Rechte des Kindes (KRK, SR 0.107) stattzufinden habe. Die Vorinstanz habe je- doch auf eine Überprüfung, ob der minderjährige Beschwerdeführer tat- sächlich in sein familiäres Umfeld zurückgeführt werden könne, verzichtet, mit der Begründung, dass der Beschwerdeführer im nächsten Monat voll- jährig werde. Dies sei nicht statthaft; mit diesem Vorgehen verletze die Vor- instanz ihre Untersuchungspflicht. In diesem Zusammenhang sei darauf hinzuweisen, dass der Beschwerdeführer zu seiner Familie nur unregel- mässigen Kontakt pflege. Ausserdem habe er sich in der Schweiz sehr gut eingelebt und fühle sich hier sehr sicher.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E-615/2024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Durchsicht der Akten kommt das Bundesverwaltungsgericht zum Schluss, dass die Vorinstanz die Vorbringen des Beschwerdeführers zu Recht als asylirrelevant eingestuft hat. Wie nachfolgend noch ausführlicher dargelegt wird, sind seinen Vorbringen bezüglich seiner Befürchtung, sei- tens der «E._______-Miliz» gezielt verfolgt zu werden, keinerlei objektive Anhaltspunkte für eine tatsächliche asylrelevante Verfolgung zu entneh- men. Vielmehr gründet seine Furcht lediglich auf seiner eigenen Interpre- tation der Geschehnisse, welche mit den von ihm geschilderten Umstän- den, wonach er selbst im Zuge der Kämpfe nicht angegriffen worden sei respektive keinen Kontakt mit den Angreifern gehabt habe und seine Fa- milie ohne Behelligungen in Kinshasa wie auch im Dorf weiterzuleben scheint, jedoch nicht zu vereinbaren sind.</w:t>
      </w:r>
    </w:p>
    <w:p>
      <w:r>
        <w:rPr>
          <w:b/>
        </w:rPr>
        <w:t>E. 6.2</w:t>
      </w:r>
    </w:p>
    <w:p>
      <w:r>
        <w:t>Hinsichtlich des auf Beschwerdeebene vorgebrachten Einwandes des Beschwerdeführers, er werde – aufgrund seiner Position als potentieller Nachfolger seines Vaters als Dorfvorsteher – durch die «E._______-Miliz» gezielt in seiner Person verfolgt, ist erneut darauf hinzuweisen, dass der Beschwerdeführer vor seiner Ausreise nicht direkt von den Kämpfen in sei- nem Dorf betroffen war, sondern fliehen konnte, bevor die Angreifer mit ihm in Kontakt treten konnten (A23 F51 und F54 f.). Zwar machte er anlässlich seiner Anhörung wiederholt geltend, ihm sei als Sohn des Dorfvorstehers nachgestellt worden, konnte auf Nachfrage jedoch nicht nachvollziehbar erklären, was er genau damit meine und wie er zu diesem Schluss gelange (A23 F29 ff. und 49 f.). An anderer Stelle führte er denn auch aus, die «E._______-Miliz» habe nicht nur ihn verfolgt, diese habe zahlreichen Per- sonen aus dem Dorf nachgestellt (A23 F43), weshalb auch diese das Dorf verlassen hätten; das eigentliche Ziel sei allein der Dorfvorsteher gewesen (A23 F59). Aus diesen Aussagen ist objektiv betrachtet keine gezielte Ver- folgung des Beschwerdeführers erkennbar.</w:t>
      </w:r>
    </w:p>
    <w:p>
      <w:r>
        <w:rPr>
          <w:b/>
        </w:rPr>
        <w:t>E. 6.3</w:t>
      </w:r>
    </w:p>
    <w:p>
      <w:r>
        <w:t>Der Beschwerdeführer monierte in seiner Rechtsmitteleingabe weiter, aufgrund seiner individuellen Gefährdungslage, welche sich durch den</w:t>
      </w:r>
    </w:p>
    <w:p>
      <w:r>
        <w:t>E-615/2024 Seite 7 kürzlichen Tod seines Vaters verschlimmert habe, und der allgemein schlechten Sicherheitslage in seinem Heimatstaat fürchte er sich vor einer künftigen Verfolgung durch die «E._______-Miliz». Diesbezüglich ist einer- seits anzumerken, dass der vorgebrachte Tod des Vaters respektive der Grund dafür in der Beschwerde nicht näher dargelegt wurden und auch nicht belegt sind. Anderseits spricht neben der fehlenden Gezieltheit der geltend gemachten Verfolgung vor seiner Ausreise (vgl. dazu E. 6.2) auch die Tatsache, dass sich seine Angehörigen, das heisst seine Mutter, Ge- schwister und Onkel, weiterhin unbehelligt im Heimatstaat aufhalten (A18 Ziff. 3.01 und A23 F10 ff., insbes. auch F16), gegen eine objektive Furcht vor einer asylrelevanten Verfolgung. Vor diesem Hintergrund kommt das Gericht zum Schluss, dass der Beschwerdeführer sich aus objektiver Sicht einer allfälligen lokal begrenzten Gefährdungslage entziehen kann, indem er sich in einen anderen Landesteil wie beispielsweise Kinshasa zurück- zieht, wo sich auch seine Mutter wie auch seine Schwestern aufhalten.</w:t>
      </w:r>
    </w:p>
    <w:p>
      <w:r>
        <w:rPr>
          <w:b/>
        </w:rPr>
        <w:t>E. 6.4</w:t>
      </w:r>
    </w:p>
    <w:p>
      <w:r>
        <w:t>Zusammenfassend ist es dem Beschwerdeführer nicht gelungen, die Flüchtlingseigenschaft nachzuweisen oder glaubhaft zu machen. Das SEM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Mit Blick auf den Wegweisungsvollzug monierte der der minderjährige Beschwerdeführer in seiner Rechtsmitteleingabe, das SEM habe den rechtserheblichen Sachverhalt im Zusammenhang mit dem verfügten Wegweisungsvollzug nicht vollständig festgestellt und damit den Untersu- chungsgrundsatz verletzt (vgl. E. 4.2). Diese formelle Rüge ist vorab zu</w:t>
      </w:r>
    </w:p>
    <w:p>
      <w:r>
        <w:t>E-615/2024 Seite 8 prüfen, da sie allenfalls geeignet ist, eine Kassation der angefochtenen Verfügung in diesem Punkt zu bewirken.</w:t>
      </w:r>
    </w:p>
    <w:p>
      <w:r>
        <w:rPr>
          <w:b/>
        </w:rPr>
        <w:t>E. 8.3.1</w:t>
      </w:r>
    </w:p>
    <w:p>
      <w:r>
        <w:t>Die unrichtige oder unvollständige Feststellung des rechtserhebli- chen Sachverhalts in Verletzung der Untersuchungspflicht nach Art. 12 VwVG bildet einen Beschwerdegrund (Art. 49 Bst. b VwVG). Unrichtig ist die Sachverhaltsfeststellung, wenn der Verfügung ein falscher und akten- widriger Sachverhalt zugrunde gelegt wird; unvollständig ist sie, wenn nicht alle für den Entscheid rechtswesentlichen Sachumstände berücksichtigt werden (vgl. KÖLZ/HÄNER/BERTSCHI, Verwaltungsverfahren und Verwal- tungsrechtspflege des Bundes, 3. Aufl. 2013, N. 1043). Gemäss Art. 29 VwVG haben die Parteien Anspruch auf rechtliches Gehör. Der Grundsatz des rechtlichen Gehörs umfasst als Mitwirkungsrecht alle Befugnisse, die einer Partei einzuräumen sind, damit sie in einem Verfah- ren ihren Standpunkt wirksam zur Geltung bringen kann (vgl. BGE 144 I 11 E. 5.3 und BVGE 2009/35 E. 6.4.1).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8.3.2</w:t>
      </w:r>
    </w:p>
    <w:p>
      <w:r>
        <w:t>Nach ständiger Rechtsprechung des Bundesverwaltungsgerichts verpflichten Art. 3 und Art. 22 KRK die asylrechtlichen Behörden, das Kin- deswohl im Rahmen der Zumutbarkeitsprüfung als gewichtigen Aspekt zu berücksichtigen. Das SEM ist bezüglich unbegleiteter minderjähriger Asyl- suchender verpflichtet abzuklären, ob sie zu ihren Eltern oder anderen An- gehörigen zurückgeführt werden können und ob diese in der Lage sind, ihre Bedürfnisse abzudecken. Können die Angehörigen nicht ausfindig ge- macht werden oder ergibt sich, dass die Rückkehr zu diesen dem Kindes- wohl nicht entspricht, ist weiter abzuklären, ob das Kind in der Heimat al- lenfalls in einer geeigneten Institution oder bei einer Drittperson unterge- bracht werden kann. Diesbezüglich sind konkrete Abklärungen vorzuneh- men; blosse allgemeine Feststellungen, im Heimat- oder Herkunftsland würden Eltern oder andere Angehörige leben beziehungsweise es gebe in dem betreffenden Land entsprechende Einrichtungen, genügen nicht. Auch gemäss Art. 69 Abs. 4 AIG hat das SEM vor der Ausschaffung einer unbegleiteten minderjährigen Person sicherzustellen, dass diese im Rück- kehrstaat einem Familienmitglied, einem Vormund oder einer</w:t>
      </w:r>
    </w:p>
    <w:p>
      <w:r>
        <w:t>E-615/2024 Seite 9 Aufnahmeeinrichtung übergeben werden kann, welche den Schutz des Kindes gewährleistet. Die dafür notwendigen konkreten Abklärungen inklu- sive der allfälligen Übernahmezusicherungen einer geeigneten Institution sind vor Erlass einer wegweisenden Verfügung des SEM vorzunehmen respektive einzuholen, damit sie einer gerichtlichen Überprüfung offenste- hen (vgl. hierzu BVGE 2021 VI/3 E. 5).</w:t>
      </w:r>
    </w:p>
    <w:p>
      <w:r>
        <w:rPr>
          <w:b/>
        </w:rPr>
        <w:t>E. 8.4.1</w:t>
      </w:r>
    </w:p>
    <w:p>
      <w:r>
        <w:t>Die Vorinstanz hat in ihrer Verfügung vom 18. Januar 2024 die der- zeitige Minderjährigkeit des Beschwerdeführers ausdrücklich anerkannt. Die Tatsache, dass es sich beim Beschwerdeführer um einen unbegleite- ten minderjährigen Asylsuchenden im Sinne von Art. 1a Bst. d der Asylver- ordnung 1 über Verfahrensfragen (AsylV 1, SR 142.311) handelt, hat zur Folge, dass die zuvor erwähnten erhöhten Anforderungen an die Zumut- barkeit des Wegweisungsvollzugs von Amtes wegen zu prüfen sind (vgl. BVGE 2015/30 E. 7.2; 2009/51 E. 5.6 und Entscheidungen und Mitteilun- gen der Schweizerischen Asylrekurskommission [EMARK] 1998 Nr. 13 E. 5e). Der Einwand des SEM, der Beschwerdeführer werde bis zu seiner Rückführung das volljährige Alter erreicht haben, ist insofern nicht stichhal- tig, als über den Wegweisungsvollzug gestützt auf eine «ex nunc»-Beurtei- lung der erheblichen Tatsachen zu entscheiden ist und damit der Sachver- halt, wie er sich im Zeitpunkt des Erlasses des Wegweisungsentscheids präsentiert, massgeblich ist (vgl. EMARK 1996 Nr. 18 E. 14e).</w:t>
      </w:r>
    </w:p>
    <w:p>
      <w:r>
        <w:rPr>
          <w:b/>
        </w:rPr>
        <w:t>E. 8.4.2</w:t>
      </w:r>
    </w:p>
    <w:p>
      <w:r>
        <w:t>Angesichts der vom SEM nicht bezweifelten Minderjährigkeit des Be- schwerdeführers im Verfügungszeitpunkt greifen die Ausführungen im an- gefochtenen Entscheid im Zusammenhang mit dem Wegweisungsvollzug nach dem zuvor Gesagten zu kurz. Das SEM hat – solange der Beschwer- deführer minderjährig ist – gestützt auf seine Untersuchungspflicht abzu- klären, ob dieser zu seiner Mutter oder anderen Angehörigen (wie bei- spielsweise seinem Onkel, mit dem er von der Schweiz aus telefonischen Kontakt pflegt) zurückgeführt werden kann und ob diese in der Lage sind, seine Bedürfnisse abzudecken. Falls die Angehörigen nicht ausfindig ge- macht werden können oder sich ergeben sollte, dass die Rückkehr zu die- sen dem Kindeswohl nicht entspricht, wäre weiter abzuklären, ob er in sei- nem Heimatland allenfalls in einer geeigneten Institution oder bei einer Drittperson untergebracht werden kann.</w:t>
      </w:r>
    </w:p>
    <w:p>
      <w:r>
        <w:rPr>
          <w:b/>
        </w:rPr>
        <w:t>E. 8.5.1</w:t>
      </w:r>
    </w:p>
    <w:p>
      <w:r>
        <w:t>Gemäss Art. 61 Abs. 1 VwVG entscheidet das Bundesverwaltungs- gericht in der Sache selbst oder weist diese ausnahmsweise mit</w:t>
      </w:r>
    </w:p>
    <w:p>
      <w:r>
        <w:t>E-615/2024 Seite 10 verbindlichen Weisungen an die Vorinstanz zurück. Eine Kassation und Rückweisung an die Vorinstanz ist insbesondere angezeigt, wenn weitere Tatsachen festgestellt werden müssen und ein umfassendes Beweisver- fahren durchzuführen ist. Die in diesen Fällen fehlende Entscheidungsreife kann grundsätzlich zwar auch durch die Beschwerdeinstanz selbst herge- stellt werden, wenn dies im Einzelfall aus prozessökonomischen Gründen angebracht erscheint; sie muss dies aber nicht (vgl. BVGE 2012/21 E. 5).</w:t>
      </w:r>
    </w:p>
    <w:p>
      <w:r>
        <w:rPr>
          <w:b/>
        </w:rPr>
        <w:t>E. 8.5.2</w:t>
      </w:r>
    </w:p>
    <w:p>
      <w:r>
        <w:t>Im vorliegenden Fall ist die Sache im Vollzugspunkt an die Vorinstanz zurückzuweisen, zumal die Fragen im Zusammenhang mit dem Wegwei- sungsvollzug des minderjährigen Beschwerdeführers weiterer Abklärun- gen bedürfen.</w:t>
      </w:r>
    </w:p>
    <w:p>
      <w:r>
        <w:rPr>
          <w:b/>
        </w:rPr>
        <w:t>E. 9</w:t>
      </w:r>
    </w:p>
    <w:p>
      <w:r>
        <w:t>Nach dem Gesagten ist die Beschwerde insofern gutzuheissen, als dass die Aufhebung der Dispositivziffern 4 und 5 der Verfügung vom 18. Januar 2024 (Wegweisungsvollzug) beantragt wurde. Die Sache ist zur Neubeur- teilung des Wegweisungsvollzugs im Sinne der Erwägungen an das SEM zurückzuweisen. Im Übrigen, das heisst hinsichtlich der Dispositivziffern 1 bis 3 der angefochtenen Verfügung (Asyl- und Flüchtlingsfrage sowie die Wegweisung), ist die Beschwerde abzuweisen.</w:t>
      </w:r>
    </w:p>
    <w:p>
      <w:r>
        <w:rPr>
          <w:b/>
        </w:rPr>
        <w:t>E. 10.1</w:t>
      </w:r>
    </w:p>
    <w:p>
      <w:r>
        <w:t>Bei diesem Ausgang des Verfahrens waren die Beschwerdebegehren des minderjährigen Beschwerdeführers nicht als aussichtslos zu bezeich- nen. Der Antrag auf Gewährung der unentgeltlichen Prozessführung im Sinne von Art. 65 Abs. 1 VwVG ist daher gutzuheissen. Trotz hälftigen Un- terliegens sind dem Beschwerdeführer demnach keine Verfahrenskosten aufzuerlegen (Art. 63 Abs. 1 bis 3 i.V.m. Art. 65 Abs. 1 VwVG).</w:t>
      </w:r>
    </w:p>
    <w:p>
      <w:r>
        <w:rPr>
          <w:b/>
        </w:rPr>
        <w:t>E. 10.2</w:t>
      </w:r>
    </w:p>
    <w:p>
      <w:r>
        <w:t>Dem vertretenen Beschwerdeführer ist (für das hälftige Obsiegen) keine Parteientschädigung auszurichten, da es sich vorliegend um eine zu- gewiesene unentgeltliche Rechtsvertretung im Sinne von Art. 102h AsylG handelt, deren Leistungen vom Bund nach Massgabe von Art. 102k AsylG entschädigt werden (vgl. auch Art. 111ater AsylG). (Dispositiv nächste Seite)</w:t>
      </w:r>
    </w:p>
    <w:p>
      <w:r>
        <w:t>E-615/2024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