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E-6159/2015 vom 8. Oktober 2015</w:t>
      </w:r>
    </w:p>
    <w:p>
      <w:r>
        <w:t>Bundesverwaltungsgericht, 2015-10-08, DE</w:t>
      </w:r>
    </w:p>
    <w:p>
      <w:r>
        <w:rPr>
          <w:b/>
        </w:rPr>
        <w:t xml:space="preserve">Quelle: </w:t>
      </w:r>
      <w:r>
        <w:t>https://mcp.opencaselaw.ch/entscheid/bvger_E-6159_2015</w:t>
      </w:r>
    </w:p>
    <w:p>
      <w:r>
        <w:t>FR: TAF E-6159/2015 du 8 octobre 2015</w:t>
      </w:r>
    </w:p>
    <w:p>
      <w:r>
        <w:t>IT: TAF E-6159/2015 del 8 ottobre 2015</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beantragt die Zusammenlegung seines Verfahrens mit demjenigen seiner Verlobten (E-6160/2015). Dem Antrag ist insoweit zu entsprechen, als die beiden Beschwerden vom gleichen Spruchkörper und zeitgleich zu behandeln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Der Beschwerdeführer ist Staatsangehöriger von Albanien (vgl. Reisepass). Der Bundesrat hat mit Beschluss vom 5. Oktober 1993 Albanien als verfolgungssicheren Staat im Sinne von Art. 6a Abs. 2 Bst. a AsylG bezeichnet und ist seither auf diese Einschätzung nicht zurückgekommen (Art. 6a Abs. 3 AsylG). Die gesetzliche Regelvermutung besteht somit darin, dass eine asylrelevante staatliche Verfolgung im betreffenden Staat nicht besteht und Schutz vor nichtstaatlicher Verfolgung gewährleistet ist. Diese Vermutung kann im Einzelfall aufgrund konkreter und substantiierter Hinweise umgestossen werden. Zu prüfen bleibt somit, ob die Vorinstanz zu Recht erwogen hat, aus den Akten würden sich keine Hinweise auf eine asylrelevante Verfolgung ergeben, welche die in Bezug auf Albanien bestehende Vermutung der Verfolgungssicherheit widerlegen könnten.</w:t>
      </w:r>
    </w:p>
    <w:p>
      <w:r>
        <w:rPr>
          <w:b/>
        </w:rPr>
        <w:t>E. 5.1</w:t>
      </w:r>
    </w:p>
    <w:p>
      <w:r>
        <w:t>Die Vorinstanz kommt in der angefochtenen Verfügung zum Schluss, die Vorbringen des Beschwerdeführers würden den Anforderungen an die Flüchtlingseigenschaft gemäss Art. 3 AsylG nicht standhalten. Bei den geltend gemachten Benachteiligungen handle es sich um eine Verfolgung durch Drittpersonen. Vor diesem Hintergrund sei vorab festzustellen, dass der Bundesrat mit Beschluss vom 5. Oktober 1993 Albanien als verfolgungssicheren Staat bezeichnet habe. Es bestehe daher die gesetzliche Vermutung, dass asylrelevante staatliche Verfolgung nicht staatfinde und Schutz vor nichtstaatlicher Verfolgung gewährleistet sei. Kein Staat sei indes in der Lage, die Sicherheit seiner Bürger im Falle von Übergriffen durch Drittpersonen vollumfänglich zu gewährleisten. Daraus könne nicht geschlossen werden, dass das Ersuchen um staatlichen Schutz von vornherein ein nutzloses Unterfangen sei beziehungsweise der albanische Staat in diesen Belangen seiner Schutzpflicht grundsätzlich nicht nachkomme. Übergriffe durch Drittpersonen würden auch in Albanien grundsätzlich als strafbare Handlungen, die verfolgt und geahndet werden, gelten. Bezüglich der Anzeige, die der Beschwerdeführer wegen des Anschlages auf ihn bei der Polizei eingereicht habe, sei ihm der Personenschutz verwehrt worden und die Polizei habe sich von ihm distanziert, als er den möglichen Urheber genannt habe. Es gebe jedoch keine Anzeichen darauf, dass der albanische Staat Übergriffe dulde oder stütze. Im Gegenteil sei die Polizei unverzüglich am Tatort erschienen und habe den Tatort untersucht und gesichert. Dem Verhalten der Polizei, mangels Beweisen keine Untersuchung gegen die von ihm erwähnte Person zu eröffnen, könne keine Unkorrektheit entnommen werden, zumal es sich nur um eine Vermutung seitens des Beschwerdeführers handle. Die Behörde habe also korrekt interveniert. Er könne sich bei einer Rückkehr nach Albanien wiederholt und mit Nachdruck an die Behörden wenden und gegebenenfalls den Rechtsweg bestreiten.</w:t>
      </w:r>
    </w:p>
    <w:p>
      <w:r>
        <w:rPr>
          <w:b/>
        </w:rPr>
        <w:t>E. 5.2</w:t>
      </w:r>
    </w:p>
    <w:p>
      <w:r>
        <w:t>Der Beschwerdeführer wendet dagegen ein, seine Verfolgung würde nicht von Dritten ausgehen, sondern vom Staat. Verschiedene Ereignisse würden belegen, dass er von prominenten Politikern verfolgt werde, und dass die Verfolgung somit dem Staat zuzurechnen sei. Dass es sich bei Albanien um einen verfolgungssicheren Staat handle, sei lediglich eine Vermutung, die im Einzelfall umgestossen werden könne. Die Polizei habe in seinem Fall lediglich formell, aber nicht mit ernsthafter Ermittlungsabsicht gehandelt. Es müsse davon ausgegangen werden, dass eine zukünftige, erfolgreiche und rechtskonforme Ermittlung in diesem Fall nicht stattfinde. Dass er seine Rechte bei anderen Instanzen einfordere, sei ihm angesichts der Bedrohung nicht zumutbar.</w:t>
      </w:r>
    </w:p>
    <w:p>
      <w:r>
        <w:rPr>
          <w:b/>
        </w:rPr>
        <w:t>E. 5.3</w:t>
      </w:r>
    </w:p>
    <w:p>
      <w:r>
        <w:t>Der vorinstanzliche Schluss ist indes nicht zu beanstanden. In der angefochtenen Verfügung wird einlässlich dargelegt, weshalb der Beschwerdeführer die Voraussetzungen zur Anerkennung als Flüchtling nicht erfüllt. Was in der Rechtsmitteleingabe dagegen vorgebracht wird, ist nicht geeignet, einen anderen Schluss zu ziehen. So stellt die Vorinstanz zutreffend fest, dass die vom Beschwerdeführer vorgebrachte Verfolgung von Dritten ausgeht und nicht vom Staat. Nur weil es sich beim angeblichen Urheber des Angriffs auf den Beschwerdeführer um einen Politiker handelt, liegt noch keine staatliche Verfolgung vor. Mit der Vorinstanz ist nochmals festzuhalten, dass der albanische Staat grundsätzlich als verfolgungssicherer Staat gilt und es dem Beschwerdeführer auch auf Beschwerdeebene nicht gelingt, diese Vermutung umzustossen. Zutreffend führt die Vorinstanz aus, dass sich aus den Aussagen des Beschwerdeführers und den Akten ergibt, dass die Polizei aufgrund des Anschlages auf den Beschwerdeführer tätig wurde. Allein daraus, dass die Polizei gegen die vom Beschwerdeführer verdächtigte Person mangels Beweisen keine Ermittlungen aufgenommen hat, kann der Beschwerdeführer nichts zu seinen Gunsten ableiten. Um Wiederholungen zu vermeiden ist diesbezüglich auf die zutreffenden Erwägungen der Vor­instanz zu verweisen.</w:t>
      </w:r>
    </w:p>
    <w:p>
      <w:r>
        <w:rPr>
          <w:b/>
        </w:rPr>
        <w:t>E. 5.4</w:t>
      </w:r>
    </w:p>
    <w:p>
      <w:r>
        <w:t>Zusammenfassend ist festzuhalten, dass es dem Beschwerdeführer nicht gelungen ist, eine im Zeitpunkt seiner Ausreise aus Albanien bestehende oder drohende, asylrechtlich relevante Gefährdung nachzuweisen oder glaubhaft zu machen. Die Vorinstanz hat sein Asylgesuch zu Recht abgewiesen.</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Wegweisung demnach zu Recht verfügt.</w:t>
      </w:r>
    </w:p>
    <w:p>
      <w:r>
        <w:rPr>
          <w:b/>
        </w:rPr>
        <w:t>E. 7.1</w:t>
      </w:r>
    </w:p>
    <w:p>
      <w:r>
        <w:t>Der Vollzug der Wegweisung ist nach Art. 83 Abs. 3 AuG (SR 142.20)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nach Albanien dort mit beachtlicher Wahrscheinlichkeit einer nach Art. 3 EMRK oder Art. 1 FoK verbotenen Strafe oder Behandlung ausgesetzt wäre. Der Vollzug der Wegweisung ist zulässig.</w:t>
      </w:r>
    </w:p>
    <w:p>
      <w:r>
        <w:rPr>
          <w:b/>
        </w:rPr>
        <w:t>E. 7.2</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Albanien herrscht kein Bürgerkrieg und keine Situation allgemeiner Gewalt. Auch besteht kein Grund zur Annahme, der Beschwerdeführer gerate im Falle einer Rückkehr aus individuellen Gründen wirtschaftlicher, sozialer oder gesundheitlicher Natur in eine existenzbedrohende Situation. Der Vollzug erweist sich als zumutbar.</w:t>
      </w:r>
    </w:p>
    <w:p>
      <w:r>
        <w:rPr>
          <w:b/>
        </w:rPr>
        <w:t>E. 7.3</w:t>
      </w:r>
    </w:p>
    <w:p>
      <w:r>
        <w:t>Der Beschwerdeführer ist im Besitze eines gültigen albanischen Reisepasses sowie einer Identitätskarte, weshalb der Vollzug der Wegweisung auch möglich ist (vgl. Art. 8 Abs. 4 AsylG und dazu BVGE 2008/34 E. 12).</w:t>
      </w:r>
    </w:p>
    <w:p>
      <w:r>
        <w:rPr>
          <w:b/>
        </w:rPr>
        <w:t>E. 7.4</w:t>
      </w:r>
    </w:p>
    <w:p>
      <w:r>
        <w:t>Zusammenfassend hat die Vorinstanz den Wegweisungsvollzug zu Recht als zulässig, zumutbar und möglich erachtet. Die Anordnung einer vorläufigen Aufnahme fällt damit ausser Betracht (Art. 83 Abs. 1 - 4 AuG).</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um Gewährung der unentgeltlichen Rechtspflege nicht stattzugeben ist.</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