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E-6158/2013 vom 29. Oktober 2014</w:t>
      </w:r>
    </w:p>
    <w:p>
      <w:r>
        <w:t>Bundesverwaltungsgericht, 2014-10-29, DE</w:t>
      </w:r>
    </w:p>
    <w:p>
      <w:r>
        <w:rPr>
          <w:b/>
        </w:rPr>
        <w:t xml:space="preserve">Quelle: </w:t>
      </w:r>
      <w:r>
        <w:t>https://mcp.opencaselaw.ch/entscheid/bvger_E-6158_2013</w:t>
      </w:r>
    </w:p>
    <w:p>
      <w:r>
        <w:t>FR: TAF E-6158/2013 du 29 octobre 2014</w:t>
      </w:r>
    </w:p>
    <w:p>
      <w:r>
        <w:t>IT: TAF E-6158/2013 del 29 ottobre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2.1</w:t>
      </w:r>
    </w:p>
    <w:p>
      <w:r>
        <w:t>Das Verfahren richtet sich nach dem VwVG, dem VGG und dem BGG, soweit das AsylG nichts anderes bestimmt (Art. 37 VGG und Art. 6 AsylG).</w:t>
      </w:r>
    </w:p>
    <w:p>
      <w:r>
        <w:rPr>
          <w:b/>
        </w:rPr>
        <w:t>E. 2.2</w:t>
      </w:r>
    </w:p>
    <w:p>
      <w:r>
        <w:t>Gemäss Absatz 1 der Übergangsbestimmungen zur Änderung des Asylgesetzes vom 14. Dezember 2012 gilt für die im Zeitpunkt des In-krafttretens der Rechtsänderung (am 1. Februar 2014) hängigen Verfah-ren mit Ausnahme der Absätze 2-4 das neue Recht. "Hängige Verfahren" im Sinne von Absatz 1 der Übergangsbestimmungen sind auch beim Bundesverwaltungsgericht anhängige Beschwerdeverfahren (vgl. dazu das Urteil des BVGer E-662/2014 vom 17. März 2014 E. 2.3 und 2.4.1-2.4.3, m.w.H.). Auf diese ist somit neues Recht anzuwenden, zumal keine der in den Absätzen 2-4 der Übergangsbestimmungen genannten Ausnahmen greift.</w:t>
      </w:r>
    </w:p>
    <w:p>
      <w:r>
        <w:rPr>
          <w:b/>
        </w:rPr>
        <w:t>E. 3</w:t>
      </w:r>
    </w:p>
    <w:p>
      <w:r>
        <w:t>Die Kognition des Bundesverwaltungsgerichts im Asylbereich und die zulässigen Rügen richten sich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5.1</w:t>
      </w:r>
    </w:p>
    <w:p>
      <w:r>
        <w:t>Das BFM begründet seinen ablehnenden Asylentscheid damit, dass die Angaben des Beschwerdeführers, sein (...) sei im Rahmen seiner Tätigkeit für die irakische Armee getötet worden, angesichts der eingereichten Beweismittel zwar als glaubhaft erscheinen würden; ebenso die Tatsache, dass sein (...), ebenfalls Angehöriger der irakischen Armee, erschossen worden sei. Die von ihm geschilderten Umstände, insbesondere des Todes seines (...), und die Schilderungen zu seiner persönlichen Bedrohung würden jedoch nicht glaubhaft erscheinen. Zudem seien die Vorbringen in der BzP und in der Anhörung in wesentlichen Punkten nicht hinreichend begründet. Er sei auch auf mehrmaliges Nachfragen hin nicht in der Lage gewesen, die Umstände der gegen ihn persönlich gerichteten Bedrohung anschaulich darzustellen. Seine Aussagen seien allgemein und vage geblieben. Die Aussagen, die er zum erhaltenen Drohbrief mache, würden sich auf stereotype Schilderungen beschränken. Seine Angaben, wonach er bei der Tötung seines (...) (...) in unmittelbarer Nähe (...) anwesend gewesen sei, erscheine nicht glaubhaft. Die Schilderungen seiner persönlichen Reaktion als er seinen toten (...) aufgefunden habe, falle äussert knapp und vage aus. Erfahrungsgemäss würden persönliche Betroffenheit und subjektives Empfinden die Angaben des Beschwerdeführers untermauern. In seinem Fall würden solche Hinweise fehlen. Seine Aussagen zu den Umständen des Todes seines (...) und dem ihm vorangegangen Drohbrief seien somit gesamthaft gesehen zu wenig detailliert, anschaulich und lebhaft, um substantiiert glaubhaft zu machen, dass er das Beschriebene tatsächlich in dieser Art erlebt habe. Auch eine gegen ihn persönlich gerichtete Bedrohung habe der Beschwerdeführer nicht glaubhaft machen können, da er die diesbezüglichen Fragen nur stereotyp beantwortet habe.</w:t>
      </w:r>
    </w:p>
    <w:p>
      <w:r>
        <w:rPr>
          <w:b/>
        </w:rPr>
        <w:t>E. 5.2</w:t>
      </w:r>
    </w:p>
    <w:p>
      <w:r>
        <w:t>Der Beschwerdeführer hält in der Beschwerdeschrift entgegen, dass die Argumente des BFM völlig inakzeptabel seien. Jede Person zeige und interpretiere persönliche Betroffenheit auf eine andere Art und Weise. Das Ablehnen seines Asylgesuches könne sich nicht alleine auf die Interpretation des BFM-Beamten stützen, der möglicherweise gar nicht selber die Anhörung durchgeführt habe. Es gehe auch nicht an, dass das BFM einerseits als glaubhaft erachte, dass sein (...) erschossen worden sei und andererseits die von ihm geschilderten Umstände, insbesondere jene zum Tod seines (...), nicht glaube. Zu beachten seien schliesslich seine grossen Schwierigkeiten, über seine Emotionen zu sprechen, zumal er seit dem Tod seiner Familienangehörigen unter Schock stehe.</w:t>
      </w:r>
    </w:p>
    <w:p>
      <w:r>
        <w:rPr>
          <w:b/>
        </w:rPr>
        <w:t>E. 5.3</w:t>
      </w:r>
    </w:p>
    <w:p>
      <w:r>
        <w:t>Das Bundesverwaltungsgericht sieht ebenfalls keinen Grund, an der Tötung des (...) und des (...) des Beschwerdeführers zu zweifeln. Entgegen der Auffassung des BFM scheinen ihm aber auch die geltend gemachten Umstände zum Tod seines (...) nicht a priori unglaubhaft, zumal das BFM diese Unglaubhaftigkeit im Wesentlichen mit der fehlenden persönlichen Betroffenheit begründet. Das Argument des Beschwerdeführers, es reagiere nicht jedermann emotional in gleicher Weise, ist nicht von der Hand zu weisen und es ist ohne Weiteres davon auszugehen, dass sich der Beschwerdeführer anlässlich der Befragungen, die beide im Januar 2013 stattfanden, also (...) nach der Tötung seiner Angehörigen und der anschliessenden Reise in die Schweiz, in einem prekären psychischen Zustand befand, worauf im Übrigen die Hilfswerksvertretung hingewiesen hat (vgl. A7/19, Anhang: "Der AS ist offensichtlich in "belasteter" psychischer Verfassung"). Eine abschliessende Prüfung der Glaubhaftigkeit kann aber vorliegend ohnehin unterbleiben, denn der Beschwerdeführer vermag - unabhängig von der Glaubhaftigkeit seiner Vorbringen in Bezug auf die Umstände des Todes seines (...) - keine gezielt gegen ihn gerichtete Verfolgung im Sinne von Art. 3 AsylG darzutun, wie das BFM zutreffend festhält. Vermag sein schlechter psychischer Zustand eine gewisse Distanziertheit und mangelnde sichtbare Betroffenheit in Bezug auf die Schilderungen rund um den Tod seines (...) auch zu erklären, so gilt dies nicht im selben Masse in Bezug auf den Drohbrief. Selbst bei der Annahme, ein solcher sei tatsächlich gefunden worden, ist damit noch nicht dargetan, der Beschwerdeführer sei darin persönlich bedroht worden, zumal er anlässlich der BzP noch angegeben hatte, es sei nur eine Vermutung, dass er auch gefährdet sein könnte, er habe keine Bezugspersonen mehr in der Heimat, weshalb er ausgereist sei (vgl. A4/12 S. 8). Auf eine gezielte Bedrohung des Beschwerdeführers ist schliesslich auch deshalb nicht zu schliessen, weil ohne weiteres davon auszugehen ist, die Verfolger hätten ihn (...) oder spätestens bei der Leiche seines (...) gefunden, hätten sie es tatsächlich auch auf ihn abgesehen, zumal der Beschwerdeführer angegeben hatte, nachdem er Schüsse gehört habe, sei er (...) gegangen und habe seinen (...) dort gefunden (vgl. A7/19 S. 6). Gleiches gilt für die Dauer (...) bis zu seinem Verlassen von B._______ am 12. Dezember 2012 als sich der Beschwerdeführer bei (...) aufgehalten habe. Dort wäre er zweifellos gefunden worden, hätten es die Täter tatsächlich auf ihn abgesehen gehabt.</w:t>
      </w:r>
    </w:p>
    <w:p>
      <w:r>
        <w:rPr>
          <w:b/>
        </w:rPr>
        <w:t>E. 5.4</w:t>
      </w:r>
    </w:p>
    <w:p>
      <w:r>
        <w:t>Zusammenfassend ist festzuhalten, dass der Beschwerdeführer nicht vermochte, eine gezielte Verfolgung im Sinne von Art. 3 AsylG darzutun, weshalb das BFM seine Flüchtlingseigenschaft zu Recht verneint und das Asylgesuch abgelehnt hat.</w:t>
      </w:r>
    </w:p>
    <w:p>
      <w:r>
        <w:rPr>
          <w:b/>
        </w:rPr>
        <w:t>E. 6.1</w:t>
      </w:r>
    </w:p>
    <w:p>
      <w:r>
        <w:t>Lehnt das Bundesamt das Asylgesuch ab oder tritt es darauf nicht ein, so verfügt es in der Regel die Wegweisung aus der Schweiz und ordnet den Vollzug an (Art. 44 AsylG).</w:t>
      </w:r>
    </w:p>
    <w:p>
      <w:r>
        <w:rPr>
          <w:b/>
        </w:rPr>
        <w:t>E. 6.2</w:t>
      </w:r>
    </w:p>
    <w:p>
      <w:r>
        <w:t>Der Beschwerdeführer verfügt weder über eine ausländerrechtli­che Aufenthaltsbewilligung noch über einen Anspruch auf Erteilung einer solchen. Die Wegweisung wurde demnach zu Recht ange­ordnet (Art. 44 AsylG; BVGE 2009/50 E. 9 m.w.H.).</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dem Beschwerdeführer aufzuerlegen (Art. 63 Abs. 1 VwVG). Da sein Ge­such im Sinne von Art. 65 Abs. 1 mit Zwischenverfügung vom 14. November 2013 gutgeheissen wurde und sich seine finanzielle Situation seither nicht verändert hat, erfolgt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